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5</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R4-2506951</w:t>
      </w:r>
    </w:p>
    <w:bookmarkEnd w:id="2"/>
    <w:p>
      <w:pPr>
        <w:pStyle w:val="15"/>
        <w:tabs>
          <w:tab w:val="right" w:pos="9781"/>
          <w:tab w:val="right" w:pos="13323"/>
          <w:tab w:val="clear" w:pos="4680"/>
          <w:tab w:val="clear" w:pos="9360"/>
        </w:tabs>
        <w:spacing w:before="60" w:after="60"/>
        <w:outlineLvl w:val="0"/>
        <w:rPr>
          <w:rFonts w:hint="eastAsia" w:ascii="Arial" w:hAnsi="Arial" w:eastAsia="宋体" w:cs="Arial"/>
          <w:b/>
          <w:color w:val="auto"/>
          <w:sz w:val="24"/>
          <w:szCs w:val="24"/>
          <w:lang w:eastAsia="zh-CN"/>
        </w:rPr>
      </w:pPr>
      <w:r>
        <w:rPr>
          <w:rFonts w:hint="eastAsia" w:ascii="Arial" w:hAnsi="Arial" w:eastAsia="宋体" w:cs="Arial"/>
          <w:b/>
          <w:color w:val="auto"/>
          <w:sz w:val="24"/>
          <w:szCs w:val="24"/>
          <w:lang w:eastAsia="zh-CN"/>
        </w:rPr>
        <w:t>Malta, MT, 19th – 23rd May, 2025</w:t>
      </w:r>
    </w:p>
    <w:p>
      <w:pPr>
        <w:pStyle w:val="15"/>
        <w:tabs>
          <w:tab w:val="right" w:pos="9781"/>
          <w:tab w:val="right" w:pos="13323"/>
          <w:tab w:val="clear" w:pos="4680"/>
          <w:tab w:val="clear" w:pos="9360"/>
        </w:tabs>
        <w:spacing w:before="60" w:after="60"/>
        <w:outlineLvl w:val="9"/>
        <w:rPr>
          <w:rFonts w:hint="eastAsia" w:ascii="Arial" w:hAnsi="Arial" w:eastAsia="宋体" w:cs="Arial"/>
          <w:b/>
          <w:color w:val="auto"/>
          <w:sz w:val="24"/>
          <w:szCs w:val="24"/>
          <w:lang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Rel-19 ATG demodulation requirements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lang w:val="en-US" w:eastAsia="zh-CN"/>
        </w:rPr>
        <w:t>7.12.7</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#106 meeting, the revised WID of enhancements for Air-to-ground network for NR was approved in [1], the objectives related to enhanced ATG are listed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sz w:val="21"/>
                <w:szCs w:val="21"/>
                <w:lang w:eastAsia="zh-CN"/>
              </w:rPr>
            </w:pPr>
            <w:r>
              <w:rPr>
                <w:rFonts w:hint="eastAsia"/>
                <w:sz w:val="21"/>
                <w:szCs w:val="21"/>
                <w:lang w:eastAsia="zh-CN"/>
              </w:rPr>
              <w:t>T</w:t>
            </w:r>
            <w:r>
              <w:rPr>
                <w:sz w:val="21"/>
                <w:szCs w:val="21"/>
                <w:lang w:eastAsia="zh-CN"/>
              </w:rPr>
              <w:t>he performance part of the work item includes:</w:t>
            </w:r>
          </w:p>
          <w:p>
            <w:pPr>
              <w:pStyle w:val="33"/>
              <w:numPr>
                <w:ilvl w:val="0"/>
                <w:numId w:val="7"/>
              </w:numPr>
              <w:overflowPunct w:val="0"/>
              <w:autoSpaceDE w:val="0"/>
              <w:autoSpaceDN w:val="0"/>
              <w:adjustRightInd w:val="0"/>
              <w:spacing w:after="180"/>
              <w:textAlignment w:val="baseline"/>
              <w:rPr>
                <w:rFonts w:eastAsia="等线"/>
                <w:sz w:val="21"/>
                <w:szCs w:val="21"/>
                <w:lang w:eastAsia="zh-CN"/>
              </w:rPr>
            </w:pPr>
            <w:r>
              <w:rPr>
                <w:rFonts w:eastAsia="等线"/>
                <w:sz w:val="21"/>
                <w:szCs w:val="21"/>
                <w:lang w:eastAsia="zh-CN"/>
              </w:rPr>
              <w:t>Specify corresponding RRM performance and demodulation requirements for intra-band co-located and inter-band co-located DL CA.</w:t>
            </w:r>
          </w:p>
          <w:p>
            <w:pPr>
              <w:pStyle w:val="33"/>
              <w:numPr>
                <w:ilvl w:val="0"/>
                <w:numId w:val="7"/>
              </w:numPr>
              <w:overflowPunct w:val="0"/>
              <w:autoSpaceDE w:val="0"/>
              <w:autoSpaceDN w:val="0"/>
              <w:adjustRightInd w:val="0"/>
              <w:spacing w:after="180"/>
              <w:textAlignment w:val="baseline"/>
              <w:rPr>
                <w:rFonts w:eastAsia="等线"/>
                <w:sz w:val="21"/>
                <w:szCs w:val="21"/>
                <w:lang w:eastAsia="zh-CN"/>
              </w:rPr>
            </w:pPr>
            <w:r>
              <w:rPr>
                <w:rFonts w:eastAsia="等线"/>
                <w:sz w:val="21"/>
                <w:szCs w:val="21"/>
                <w:lang w:eastAsia="zh-CN"/>
              </w:rPr>
              <w:t>Specify corresponding demodulation requirements for support of UL MIMO with 2TX for single CC for UE with dual-polarization antenna.</w:t>
            </w:r>
          </w:p>
          <w:p>
            <w:pPr>
              <w:pStyle w:val="33"/>
              <w:numPr>
                <w:ilvl w:val="0"/>
                <w:numId w:val="7"/>
              </w:numPr>
              <w:overflowPunct w:val="0"/>
              <w:autoSpaceDE w:val="0"/>
              <w:autoSpaceDN w:val="0"/>
              <w:adjustRightInd w:val="0"/>
              <w:spacing w:after="180"/>
              <w:textAlignment w:val="baseline"/>
              <w:rPr>
                <w:rFonts w:eastAsia="等线"/>
                <w:sz w:val="21"/>
                <w:szCs w:val="21"/>
                <w:lang w:eastAsia="zh-CN"/>
              </w:rPr>
            </w:pPr>
            <w:r>
              <w:rPr>
                <w:rFonts w:eastAsia="等线"/>
                <w:sz w:val="21"/>
                <w:szCs w:val="21"/>
                <w:lang w:eastAsia="zh-CN"/>
              </w:rPr>
              <w:t>Specify demodulation requirements for support of DL MIMO for UE</w:t>
            </w:r>
            <w:r>
              <w:rPr>
                <w:rFonts w:hint="eastAsia" w:eastAsia="等线"/>
                <w:sz w:val="21"/>
                <w:szCs w:val="21"/>
                <w:lang w:eastAsia="zh-CN"/>
              </w:rPr>
              <w:t xml:space="preserve"> with limited test cases</w:t>
            </w:r>
            <w:r>
              <w:rPr>
                <w:rFonts w:eastAsia="等线"/>
                <w:sz w:val="21"/>
                <w:szCs w:val="21"/>
                <w:lang w:eastAsia="zh-CN"/>
              </w:rPr>
              <w:t>.</w:t>
            </w:r>
          </w:p>
          <w:p>
            <w:pPr>
              <w:pStyle w:val="33"/>
              <w:numPr>
                <w:ilvl w:val="0"/>
                <w:numId w:val="7"/>
              </w:numPr>
              <w:overflowPunct w:val="0"/>
              <w:autoSpaceDE w:val="0"/>
              <w:autoSpaceDN w:val="0"/>
              <w:adjustRightInd w:val="0"/>
              <w:spacing w:after="180"/>
              <w:textAlignment w:val="baseline"/>
              <w:rPr>
                <w:rFonts w:hint="default"/>
                <w:szCs w:val="22"/>
                <w:vertAlign w:val="baseline"/>
                <w:lang w:val="en-US" w:eastAsia="zh-CN"/>
              </w:rPr>
            </w:pPr>
            <w:bookmarkStart w:id="4" w:name="_Hlk183524706"/>
            <w:r>
              <w:rPr>
                <w:rFonts w:eastAsia="等线"/>
                <w:sz w:val="21"/>
                <w:szCs w:val="21"/>
                <w:lang w:eastAsia="zh-CN"/>
              </w:rPr>
              <w:t>Specify conformance testing and conformance requirements for BS.</w:t>
            </w:r>
            <w:bookmarkEnd w:id="4"/>
          </w:p>
        </w:tc>
      </w:tr>
    </w:tbl>
    <w:p>
      <w:pPr>
        <w:spacing w:before="120" w:after="120"/>
        <w:rPr>
          <w:rFonts w:hint="eastAsia"/>
          <w:szCs w:val="22"/>
          <w:lang w:val="en-US" w:eastAsia="zh-CN"/>
        </w:rPr>
      </w:pPr>
      <w:r>
        <w:rPr>
          <w:rFonts w:hint="eastAsia"/>
          <w:szCs w:val="22"/>
          <w:lang w:val="en-US" w:eastAsia="zh-CN"/>
        </w:rPr>
        <w:t xml:space="preserve">In Rel-18, RAN4 defined demodulation requirements for PDSCH under AWGN channel model on FR1 single scenario. However, considering that ATG has the advantage of high throughput, low propagation delay, and low cost application, some operators and the aircraft industry have a strong request for the deployment of ATG. In R19, the following two aspects are considered: </w:t>
      </w:r>
    </w:p>
    <w:p>
      <w:pPr>
        <w:widowControl w:val="0"/>
        <w:numPr>
          <w:ilvl w:val="0"/>
          <w:numId w:val="8"/>
        </w:numPr>
        <w:overflowPunct/>
        <w:autoSpaceDE/>
        <w:autoSpaceDN/>
        <w:adjustRightInd/>
        <w:spacing w:after="0"/>
        <w:textAlignment w:val="auto"/>
        <w:rPr>
          <w:kern w:val="2"/>
          <w:lang w:val="en-US" w:eastAsia="zh-CN"/>
        </w:rPr>
      </w:pPr>
      <w:r>
        <w:rPr>
          <w:kern w:val="2"/>
          <w:lang w:val="en-US" w:eastAsia="zh-CN"/>
        </w:rPr>
        <w:t>Enhance throughput to meet ATG capacity demand</w:t>
      </w:r>
    </w:p>
    <w:p>
      <w:pPr>
        <w:widowControl w:val="0"/>
        <w:numPr>
          <w:ilvl w:val="0"/>
          <w:numId w:val="8"/>
        </w:numPr>
        <w:overflowPunct/>
        <w:autoSpaceDE/>
        <w:autoSpaceDN/>
        <w:adjustRightInd/>
        <w:spacing w:after="0"/>
        <w:textAlignment w:val="auto"/>
        <w:rPr>
          <w:rFonts w:hint="eastAsia"/>
          <w:lang w:val="en-US" w:eastAsia="zh-CN"/>
        </w:rPr>
      </w:pPr>
      <w:r>
        <w:rPr>
          <w:kern w:val="2"/>
          <w:lang w:val="en-US" w:eastAsia="zh-CN"/>
        </w:rPr>
        <w:t>Fully utilize operators’ spectrum especially for the fragment spectrum</w:t>
      </w:r>
    </w:p>
    <w:p>
      <w:pPr>
        <w:spacing w:before="120" w:after="120"/>
        <w:rPr>
          <w:rFonts w:hint="default"/>
          <w:lang w:val="en-US" w:eastAsia="zh-CN"/>
        </w:rPr>
      </w:pPr>
      <w:r>
        <w:rPr>
          <w:rFonts w:hint="eastAsia"/>
          <w:lang w:val="en-US" w:eastAsia="zh-CN"/>
        </w:rPr>
        <w:t xml:space="preserve">In this contribution, we give some initial discussion on the enhanced ATG demodulation requirements. </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 xml:space="preserve">2 </w:t>
      </w:r>
      <w:r>
        <w:rPr>
          <w:b/>
          <w:kern w:val="0"/>
          <w:sz w:val="24"/>
          <w:szCs w:val="24"/>
        </w:rPr>
        <w:t>Discussion</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9"/>
        <w:rPr>
          <w:rFonts w:hint="eastAsia"/>
          <w:b/>
          <w:bCs/>
          <w:i w:val="0"/>
          <w:iCs w:val="0"/>
          <w:szCs w:val="21"/>
          <w:lang w:val="en-US" w:eastAsia="zh-CN"/>
        </w:rPr>
      </w:pPr>
      <w:r>
        <w:rPr>
          <w:rFonts w:hint="eastAsia"/>
          <w:b/>
          <w:bCs/>
          <w:i w:val="0"/>
          <w:iCs w:val="0"/>
          <w:szCs w:val="21"/>
          <w:lang w:val="en-US" w:eastAsia="zh-CN"/>
        </w:rPr>
        <w:t>DL CA requirements</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9"/>
        <w:rPr>
          <w:rFonts w:hint="eastAsia"/>
          <w:b/>
          <w:color w:val="auto"/>
          <w:u w:val="single"/>
          <w:lang w:val="en-US" w:eastAsia="zh-CN"/>
        </w:rPr>
      </w:pPr>
      <w:r>
        <w:rPr>
          <w:rFonts w:hint="eastAsia"/>
          <w:b/>
          <w:color w:val="auto"/>
          <w:u w:val="single"/>
          <w:lang w:val="en-US" w:eastAsia="zh-CN"/>
        </w:rPr>
        <w:t>CA Duplex mode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ageBreakBefore w:val="0"/>
              <w:widowControl/>
              <w:tabs>
                <w:tab w:val="left" w:pos="0"/>
              </w:tabs>
              <w:kinsoku/>
              <w:wordWrap/>
              <w:overflowPunct/>
              <w:topLinePunct w:val="0"/>
              <w:autoSpaceDE/>
              <w:autoSpaceDN/>
              <w:bidi w:val="0"/>
              <w:adjustRightInd/>
              <w:snapToGrid/>
              <w:spacing w:before="60" w:after="60"/>
              <w:textAlignment w:val="baseline"/>
              <w:rPr>
                <w:rFonts w:hint="default" w:ascii="Times New Roman" w:hAnsi="Times New Roman" w:eastAsia="宋体" w:cs="Times New Roman"/>
                <w:color w:val="auto"/>
                <w:sz w:val="20"/>
                <w:szCs w:val="20"/>
                <w:highlight w:val="none"/>
                <w:lang w:eastAsia="zh-CN"/>
              </w:rPr>
            </w:pPr>
            <w:r>
              <w:rPr>
                <w:rFonts w:hint="default" w:ascii="Times New Roman" w:hAnsi="Times New Roman" w:eastAsia="宋体" w:cs="Times New Roman"/>
                <w:color w:val="auto"/>
                <w:sz w:val="20"/>
                <w:szCs w:val="20"/>
                <w:highlight w:val="none"/>
                <w:lang w:eastAsia="zh-CN"/>
              </w:rPr>
              <w:t>Agreement:</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color w:val="auto"/>
                <w:sz w:val="20"/>
                <w:szCs w:val="20"/>
                <w:highlight w:val="none"/>
                <w:lang w:val="en-GB" w:eastAsia="en-US"/>
              </w:rPr>
            </w:pPr>
            <w:r>
              <w:rPr>
                <w:rFonts w:hint="default" w:ascii="Times New Roman" w:hAnsi="Times New Roman" w:eastAsia="宋体" w:cs="Times New Roman"/>
                <w:color w:val="auto"/>
                <w:sz w:val="20"/>
                <w:szCs w:val="20"/>
                <w:highlight w:val="none"/>
                <w:lang w:val="en-GB" w:eastAsia="en-US"/>
              </w:rPr>
              <w:t>TDD 30 kHz + TDD 30 kHz</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GB" w:eastAsia="en-US"/>
              </w:rPr>
              <w:t>FDD 15 kHz + TDD 30 kHz</w:t>
            </w:r>
          </w:p>
          <w:p>
            <w:pPr>
              <w:pageBreakBefore w:val="0"/>
              <w:widowControl/>
              <w:kinsoku/>
              <w:wordWrap/>
              <w:overflowPunct w:val="0"/>
              <w:topLinePunct w:val="0"/>
              <w:autoSpaceDE w:val="0"/>
              <w:autoSpaceDN w:val="0"/>
              <w:bidi w:val="0"/>
              <w:adjustRightInd w:val="0"/>
              <w:snapToGrid/>
              <w:spacing w:before="60" w:after="60"/>
              <w:textAlignment w:val="baseline"/>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FFS:</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lang w:val="en-US" w:eastAsia="zh-CN"/>
              </w:rPr>
            </w:pPr>
            <w:r>
              <w:rPr>
                <w:rFonts w:hint="default" w:ascii="Times New Roman" w:hAnsi="Times New Roman" w:eastAsia="宋体" w:cs="Times New Roman"/>
                <w:color w:val="auto"/>
                <w:sz w:val="20"/>
                <w:szCs w:val="20"/>
                <w:highlight w:val="none"/>
                <w:lang w:val="en-GB" w:eastAsia="zh-CN"/>
              </w:rPr>
              <w:t>FDD 15 kHz + FDD 15 kHz</w:t>
            </w:r>
          </w:p>
        </w:tc>
      </w:tr>
    </w:tbl>
    <w:p>
      <w:pPr>
        <w:bidi w:val="0"/>
        <w:rPr>
          <w:rFonts w:hint="default"/>
          <w:lang w:val="en-US" w:eastAsia="zh-CN"/>
        </w:rPr>
      </w:pPr>
      <w:r>
        <w:rPr>
          <w:rFonts w:hint="eastAsia"/>
          <w:lang w:val="en-US" w:eastAsia="zh-CN"/>
        </w:rPr>
        <w:t xml:space="preserve">During the last meeting, RAN4 discussed the CA duplex mode and reached the above agreement. According to the WID[1], it is clearly stated that the requirements for defining DL CA requirements, including intra-band contiguous CA and inter-band CA, e.g. CA_n79C and CA-n3A-n39A. From RAN4 legacy banseband demodulation requirements, RAN4 shall define TDD 30kHz + TDD 30kHz, FDD 15 kHz + TDD 30 kHz CA duplex models for R-19 enhanced ATG DL CA requirements. </w:t>
      </w:r>
    </w:p>
    <w:p>
      <w:pPr>
        <w:widowControl w:val="0"/>
        <w:numPr>
          <w:ilvl w:val="0"/>
          <w:numId w:val="0"/>
        </w:numPr>
        <w:overflowPunct/>
        <w:autoSpaceDE/>
        <w:autoSpaceDN/>
        <w:adjustRightInd/>
        <w:spacing w:after="0"/>
        <w:textAlignment w:val="auto"/>
        <w:rPr>
          <w:rFonts w:hint="default"/>
          <w:bCs/>
          <w:kern w:val="0"/>
          <w:szCs w:val="21"/>
          <w:lang w:val="en-US" w:eastAsia="zh-CN"/>
        </w:rPr>
      </w:pPr>
      <w:r>
        <w:rPr>
          <w:rFonts w:hint="eastAsia"/>
          <w:b/>
          <w:bCs/>
          <w:i/>
          <w:iCs/>
          <w:szCs w:val="21"/>
          <w:lang w:val="en-US" w:eastAsia="zh-CN"/>
        </w:rPr>
        <w:t>Proposal 1. Propose not to define FDD 15 kHz + FDD 15 kHz for R-19 enhanced ATG DL CA requirements.</w:t>
      </w:r>
    </w:p>
    <w:p>
      <w:pPr>
        <w:bidi w:val="0"/>
        <w:rPr>
          <w:rFonts w:hint="eastAsia"/>
          <w:b/>
          <w:color w:val="auto"/>
          <w:u w:val="single"/>
          <w:lang w:val="en-US" w:eastAsia="zh-CN"/>
        </w:rPr>
      </w:pPr>
      <w:r>
        <w:rPr>
          <w:rFonts w:hint="eastAsia"/>
          <w:b/>
          <w:color w:val="auto"/>
          <w:u w:val="single"/>
          <w:lang w:val="en-US" w:eastAsia="zh-CN"/>
        </w:rPr>
        <w:t>TDD pattern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ageBreakBefore w:val="0"/>
              <w:widowControl/>
              <w:tabs>
                <w:tab w:val="left" w:pos="0"/>
              </w:tabs>
              <w:kinsoku/>
              <w:wordWrap/>
              <w:overflowPunct/>
              <w:topLinePunct w:val="0"/>
              <w:autoSpaceDE/>
              <w:autoSpaceDN/>
              <w:bidi w:val="0"/>
              <w:adjustRightInd/>
              <w:snapToGrid/>
              <w:spacing w:before="60" w:after="60"/>
              <w:textAlignment w:val="baseline"/>
              <w:rPr>
                <w:rFonts w:hint="default"/>
                <w:color w:val="auto"/>
                <w:sz w:val="20"/>
                <w:szCs w:val="20"/>
                <w:highlight w:val="none"/>
                <w:lang w:val="en-US" w:eastAsia="zh-CN"/>
              </w:rPr>
            </w:pPr>
            <w:r>
              <w:rPr>
                <w:rFonts w:hint="default" w:ascii="Times New Roman" w:hAnsi="Times New Roman" w:eastAsia="宋体" w:cs="Times New Roman"/>
                <w:color w:val="auto"/>
                <w:sz w:val="20"/>
                <w:szCs w:val="20"/>
                <w:highlight w:val="none"/>
                <w:lang w:eastAsia="zh-CN"/>
              </w:rPr>
              <w:t>Agreement:</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highlight w:val="none"/>
                <w:lang w:val="en-US" w:eastAsia="zh-CN"/>
              </w:rPr>
            </w:pPr>
            <w:bookmarkStart w:id="5" w:name="OLE_LINK7"/>
            <w:r>
              <w:rPr>
                <w:rFonts w:hint="eastAsia" w:ascii="Times New Roman" w:hAnsi="Times New Roman" w:eastAsia="宋体" w:cs="Times New Roman"/>
                <w:color w:val="auto"/>
                <w:sz w:val="20"/>
                <w:szCs w:val="20"/>
                <w:highlight w:val="none"/>
                <w:lang w:val="en-US" w:eastAsia="zh-CN"/>
              </w:rPr>
              <w:t xml:space="preserve">Use legacy TDD pattern 7DS2U </w:t>
            </w:r>
            <w:r>
              <w:rPr>
                <w:rFonts w:hint="eastAsia" w:eastAsia="宋体" w:cs="Times New Roman"/>
                <w:color w:val="auto"/>
                <w:sz w:val="20"/>
                <w:szCs w:val="20"/>
                <w:highlight w:val="none"/>
                <w:lang w:val="en-US" w:eastAsia="zh-CN"/>
              </w:rPr>
              <w:t>as the staring point</w:t>
            </w:r>
          </w:p>
          <w:p>
            <w:pPr>
              <w:pageBreakBefore w:val="0"/>
              <w:widowControl/>
              <w:kinsoku/>
              <w:wordWrap/>
              <w:overflowPunct w:val="0"/>
              <w:topLinePunct w:val="0"/>
              <w:autoSpaceDE w:val="0"/>
              <w:autoSpaceDN w:val="0"/>
              <w:bidi w:val="0"/>
              <w:adjustRightInd w:val="0"/>
              <w:snapToGrid/>
              <w:spacing w:before="60" w:after="60"/>
              <w:textAlignment w:val="baseline"/>
              <w:rPr>
                <w:rFonts w:hint="eastAsia" w:ascii="Times New Roman" w:hAnsi="Times New Roman" w:eastAsia="宋体" w:cs="Times New Roman"/>
                <w:color w:val="auto"/>
                <w:sz w:val="20"/>
                <w:szCs w:val="20"/>
                <w:highlight w:val="none"/>
                <w:lang w:val="en-US" w:eastAsia="zh-CN"/>
              </w:rPr>
            </w:pPr>
            <w:r>
              <w:rPr>
                <w:rFonts w:hint="eastAsia" w:eastAsia="宋体"/>
                <w:color w:val="auto"/>
                <w:sz w:val="20"/>
                <w:szCs w:val="20"/>
                <w:highlight w:val="none"/>
                <w:lang w:val="en-US" w:eastAsia="zh-CN"/>
              </w:rPr>
              <w:t>FFS:</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b/>
                <w:color w:val="auto"/>
                <w:u w:val="single"/>
                <w:vertAlign w:val="baseline"/>
                <w:lang w:val="en-US" w:eastAsia="zh-CN"/>
              </w:rPr>
            </w:pPr>
            <w:r>
              <w:rPr>
                <w:rFonts w:hint="eastAsia" w:eastAsia="宋体" w:cs="Times New Roman"/>
                <w:color w:val="auto"/>
                <w:sz w:val="20"/>
                <w:szCs w:val="20"/>
                <w:highlight w:val="none"/>
                <w:lang w:val="en-US" w:eastAsia="zh-CN"/>
              </w:rPr>
              <w:t>new TDD pattern 30D4S6U</w:t>
            </w:r>
            <w:bookmarkEnd w:id="5"/>
          </w:p>
        </w:tc>
      </w:tr>
    </w:tbl>
    <w:p>
      <w:pPr>
        <w:bidi w:val="0"/>
        <w:rPr>
          <w:rFonts w:hint="eastAsia"/>
          <w:lang w:val="en-US" w:eastAsia="zh-CN"/>
        </w:rPr>
      </w:pPr>
      <w:r>
        <w:rPr>
          <w:rFonts w:hint="eastAsia"/>
          <w:lang w:val="en-US" w:eastAsia="zh-CN"/>
        </w:rPr>
        <w:t xml:space="preserve">Currently, legacy CA demodulation requirements also follows single CC requirement. From this point of view, we think ATG feature shall follow this rule. </w:t>
      </w:r>
    </w:p>
    <w:p>
      <w:pPr>
        <w:widowControl w:val="0"/>
        <w:numPr>
          <w:ilvl w:val="0"/>
          <w:numId w:val="0"/>
        </w:numPr>
        <w:overflowPunct/>
        <w:autoSpaceDE/>
        <w:autoSpaceDN/>
        <w:adjustRightInd/>
        <w:spacing w:after="0"/>
        <w:textAlignment w:val="auto"/>
        <w:rPr>
          <w:rFonts w:hint="eastAsia"/>
          <w:b/>
          <w:color w:val="auto"/>
          <w:u w:val="single"/>
          <w:lang w:val="en-US" w:eastAsia="zh-CN"/>
        </w:rPr>
      </w:pPr>
      <w:r>
        <w:rPr>
          <w:rFonts w:hint="eastAsia"/>
          <w:b/>
          <w:bCs/>
          <w:i/>
          <w:iCs/>
          <w:szCs w:val="21"/>
          <w:lang w:val="en-US" w:eastAsia="zh-CN"/>
        </w:rPr>
        <w:t>Proposal 2. Propose to define new TDD pattern 30D4S6U for R-19 enhanced ATG DL CA requirements.</w:t>
      </w:r>
    </w:p>
    <w:p>
      <w:pPr>
        <w:bidi w:val="0"/>
        <w:rPr>
          <w:rFonts w:hint="eastAsia"/>
          <w:b/>
          <w:color w:val="auto"/>
          <w:u w:val="single"/>
          <w:lang w:val="en-US" w:eastAsia="zh-CN"/>
        </w:rPr>
      </w:pPr>
    </w:p>
    <w:p>
      <w:pPr>
        <w:bidi w:val="0"/>
        <w:rPr>
          <w:rFonts w:hint="eastAsia"/>
          <w:b/>
          <w:color w:val="auto"/>
          <w:u w:val="single"/>
          <w:lang w:val="en-US" w:eastAsia="zh-CN"/>
        </w:rPr>
      </w:pPr>
      <w:r>
        <w:rPr>
          <w:rFonts w:hint="eastAsia"/>
          <w:b/>
          <w:color w:val="auto"/>
          <w:u w:val="single"/>
          <w:lang w:val="en-US" w:eastAsia="zh-CN"/>
        </w:rPr>
        <w:t>Rank</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Proposal 1: Rank 2 </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b/>
                <w:color w:val="auto"/>
                <w:u w:val="single"/>
                <w:vertAlign w:val="baseline"/>
                <w:lang w:val="en-US" w:eastAsia="zh-CN"/>
              </w:rPr>
            </w:pPr>
            <w:r>
              <w:rPr>
                <w:rFonts w:hint="eastAsia" w:ascii="Times New Roman" w:hAnsi="Times New Roman" w:eastAsia="宋体" w:cs="Times New Roman"/>
                <w:color w:val="auto"/>
                <w:sz w:val="20"/>
                <w:szCs w:val="20"/>
                <w:lang w:val="en-US" w:eastAsia="zh-CN"/>
              </w:rPr>
              <w:t>Proposal 2: Rank 1</w:t>
            </w:r>
          </w:p>
        </w:tc>
      </w:tr>
    </w:tbl>
    <w:p>
      <w:pPr>
        <w:widowControl w:val="0"/>
        <w:numPr>
          <w:ilvl w:val="0"/>
          <w:numId w:val="0"/>
        </w:numPr>
        <w:overflowPunct/>
        <w:autoSpaceDE/>
        <w:autoSpaceDN/>
        <w:adjustRightInd/>
        <w:spacing w:after="0"/>
        <w:textAlignment w:val="auto"/>
        <w:rPr>
          <w:rFonts w:hint="default" w:ascii="Times New Roman" w:hAnsi="Times New Roman" w:cs="Times New Roman"/>
          <w:bCs/>
          <w:kern w:val="0"/>
          <w:szCs w:val="21"/>
          <w:lang w:val="en-US" w:eastAsia="zh-CN"/>
        </w:rPr>
      </w:pPr>
      <w:r>
        <w:rPr>
          <w:rFonts w:hint="eastAsia" w:ascii="Times New Roman" w:hAnsi="Times New Roman" w:cs="Times New Roman"/>
          <w:bCs/>
          <w:kern w:val="0"/>
          <w:szCs w:val="21"/>
          <w:lang w:val="en-US" w:eastAsia="zh-CN"/>
        </w:rPr>
        <w:t>In legacy CA demodulation requirements, RAN4 only reuses the test parameters from single CC requirements to define CA requirements. Hence, we propose to only consider Rank 1 for DL CA demodulation requirements.</w:t>
      </w:r>
    </w:p>
    <w:p>
      <w:pPr>
        <w:widowControl w:val="0"/>
        <w:numPr>
          <w:ilvl w:val="0"/>
          <w:numId w:val="0"/>
        </w:numPr>
        <w:overflowPunct/>
        <w:autoSpaceDE/>
        <w:autoSpaceDN/>
        <w:adjustRightInd/>
        <w:spacing w:after="0"/>
        <w:textAlignment w:val="auto"/>
        <w:rPr>
          <w:rFonts w:hint="default"/>
          <w:bCs/>
          <w:kern w:val="0"/>
          <w:szCs w:val="21"/>
          <w:lang w:val="en-US" w:eastAsia="zh-CN"/>
        </w:rPr>
      </w:pPr>
      <w:r>
        <w:rPr>
          <w:rFonts w:hint="eastAsia"/>
          <w:b/>
          <w:bCs/>
          <w:i/>
          <w:iCs/>
          <w:szCs w:val="21"/>
          <w:lang w:val="en-US" w:eastAsia="zh-CN"/>
        </w:rPr>
        <w:t>Proposal 3. Propose to only consider Rank 1 for DL CA demodulation requirements.</w:t>
      </w:r>
    </w:p>
    <w:p>
      <w:pPr>
        <w:bidi w:val="0"/>
        <w:rPr>
          <w:rFonts w:hint="eastAsia"/>
          <w:b/>
          <w:color w:val="auto"/>
          <w:u w:val="singl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val="0"/>
          <w:iCs w:val="0"/>
          <w:kern w:val="2"/>
          <w:sz w:val="21"/>
          <w:szCs w:val="21"/>
          <w:lang w:val="en-US" w:eastAsia="zh-CN" w:bidi="ar-SA"/>
        </w:rPr>
      </w:pPr>
      <w:bookmarkStart w:id="6" w:name="OLE_LINK41"/>
      <w:bookmarkStart w:id="7" w:name="OLE_LINK66"/>
      <w:bookmarkStart w:id="8" w:name="OLE_LINK6"/>
      <w:bookmarkStart w:id="9" w:name="OLE_LINK23"/>
      <w:r>
        <w:rPr>
          <w:rFonts w:hint="eastAsia" w:cs="Times New Roman"/>
          <w:b/>
          <w:bCs/>
          <w:i w:val="0"/>
          <w:iCs w:val="0"/>
          <w:kern w:val="2"/>
          <w:sz w:val="21"/>
          <w:szCs w:val="21"/>
          <w:lang w:val="en-US" w:eastAsia="zh-CN" w:bidi="ar-SA"/>
        </w:rPr>
        <w:t>DL MIMO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color w:val="auto"/>
          <w:u w:val="single"/>
          <w:lang w:val="en-US" w:eastAsia="zh-CN"/>
        </w:rPr>
      </w:pPr>
      <w:r>
        <w:rPr>
          <w:rFonts w:hint="eastAsia"/>
          <w:b/>
          <w:color w:val="auto"/>
          <w:u w:val="single"/>
          <w:lang w:val="en-US" w:eastAsia="zh-CN"/>
        </w:rPr>
        <w:t>Antenna configuration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tabs>
                <w:tab w:val="left" w:pos="0"/>
              </w:tabs>
              <w:overflowPunct/>
              <w:autoSpaceDE/>
              <w:autoSpaceDN/>
              <w:adjustRightInd/>
              <w:snapToGrid w:val="0"/>
              <w:spacing w:after="120"/>
              <w:textAlignment w:val="baseline"/>
              <w:rPr>
                <w:rFonts w:hint="default"/>
                <w:color w:val="auto"/>
                <w:highlight w:val="none"/>
                <w:lang w:val="en-US" w:eastAsia="zh-CN"/>
              </w:rPr>
            </w:pPr>
            <w:r>
              <w:rPr>
                <w:rFonts w:hint="default" w:ascii="Times New Roman" w:hAnsi="Times New Roman" w:eastAsia="宋体" w:cs="Times New Roman"/>
                <w:color w:val="auto"/>
                <w:sz w:val="20"/>
                <w:szCs w:val="20"/>
                <w:highlight w:val="none"/>
                <w:lang w:eastAsia="zh-CN"/>
              </w:rPr>
              <w:t>Agreement:</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2T2R and 2T4R</w:t>
            </w:r>
          </w:p>
          <w:p>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after="120"/>
              <w:textAlignment w:val="baseline"/>
              <w:rPr>
                <w:rFonts w:hint="eastAsia" w:eastAsia="宋体" w:cs="Times New Roman"/>
                <w:color w:val="auto"/>
                <w:sz w:val="20"/>
                <w:szCs w:val="20"/>
                <w:highlight w:val="yellow"/>
                <w:lang w:val="en-US" w:eastAsia="zh-CN"/>
              </w:rPr>
            </w:pPr>
            <w:r>
              <w:rPr>
                <w:rFonts w:hint="eastAsia" w:eastAsia="宋体" w:cs="Times New Roman"/>
                <w:color w:val="auto"/>
                <w:sz w:val="20"/>
                <w:szCs w:val="20"/>
                <w:highlight w:val="none"/>
                <w:lang w:val="en-US" w:eastAsia="zh-CN"/>
              </w:rPr>
              <w:t xml:space="preserve">FFS the antenna correlation: </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b/>
                <w:color w:val="auto"/>
                <w:u w:val="single"/>
                <w:vertAlign w:val="baseline"/>
                <w:lang w:val="en-US" w:eastAsia="zh-CN"/>
              </w:rPr>
            </w:pPr>
            <w:r>
              <w:rPr>
                <w:rFonts w:hint="eastAsia" w:eastAsia="宋体" w:cs="Times New Roman"/>
                <w:color w:val="auto"/>
                <w:sz w:val="20"/>
                <w:szCs w:val="20"/>
                <w:lang w:val="en-US" w:eastAsia="zh-CN"/>
              </w:rPr>
              <w:t>Proposal 1: XP-low</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 xml:space="preserve">From the WID[1], </w:t>
      </w:r>
      <w:r>
        <w:rPr>
          <w:rFonts w:hint="eastAsia" w:cs="Times New Roman"/>
          <w:bCs/>
          <w:kern w:val="0"/>
          <w:sz w:val="21"/>
          <w:szCs w:val="21"/>
          <w:lang w:val="en-US" w:eastAsia="zh-CN" w:bidi="ar-SA"/>
        </w:rPr>
        <w:t>it is clearly pointed that the dual-polarization antenna is used for UL MIMO with 2Tx transmission. Therefore, for DL MIMO transmission, dual-polarization antenna also needs to be considered for receiving antenna.</w:t>
      </w:r>
    </w:p>
    <w:p>
      <w:pPr>
        <w:widowControl w:val="0"/>
        <w:numPr>
          <w:ilvl w:val="0"/>
          <w:numId w:val="0"/>
        </w:numPr>
        <w:overflowPunct/>
        <w:autoSpaceDE/>
        <w:autoSpaceDN/>
        <w:adjustRightInd/>
        <w:spacing w:after="0"/>
        <w:textAlignment w:val="auto"/>
        <w:rPr>
          <w:rFonts w:hint="eastAsia"/>
          <w:b/>
          <w:bCs/>
          <w:i/>
          <w:iCs/>
          <w:szCs w:val="21"/>
          <w:lang w:val="en-US" w:eastAsia="zh-CN"/>
        </w:rPr>
      </w:pPr>
      <w:r>
        <w:rPr>
          <w:rFonts w:hint="eastAsia"/>
          <w:b/>
          <w:bCs/>
          <w:i/>
          <w:iCs/>
          <w:szCs w:val="21"/>
          <w:lang w:val="en-US" w:eastAsia="zh-CN"/>
        </w:rPr>
        <w:t>Proposal 4. Propose to consider XP-low for DL MIMO transmission.</w:t>
      </w:r>
    </w:p>
    <w:p>
      <w:pPr>
        <w:widowControl w:val="0"/>
        <w:numPr>
          <w:ilvl w:val="0"/>
          <w:numId w:val="0"/>
        </w:numPr>
        <w:overflowPunct/>
        <w:autoSpaceDE/>
        <w:autoSpaceDN/>
        <w:adjustRightInd/>
        <w:spacing w:after="0"/>
        <w:textAlignment w:val="auto"/>
        <w:rPr>
          <w:rFonts w:hint="eastAsia"/>
          <w:b/>
          <w:bCs/>
          <w:i/>
          <w:iCs/>
          <w:szCs w:val="21"/>
          <w:lang w:val="en-US" w:eastAsia="zh-CN"/>
        </w:rPr>
      </w:pPr>
      <w:r>
        <w:rPr>
          <w:rFonts w:hint="eastAsia"/>
          <w:b/>
          <w:color w:val="auto"/>
          <w:u w:val="single"/>
          <w:lang w:val="en-US" w:eastAsia="zh-CN"/>
        </w:rPr>
        <w:t>MCS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tabs>
                <w:tab w:val="left" w:pos="0"/>
              </w:tabs>
              <w:overflowPunct/>
              <w:autoSpaceDE/>
              <w:autoSpaceDN/>
              <w:adjustRightInd/>
              <w:snapToGrid w:val="0"/>
              <w:spacing w:after="120"/>
              <w:textAlignment w:val="baseline"/>
              <w:rPr>
                <w:rFonts w:hint="default"/>
                <w:color w:val="auto"/>
                <w:highlight w:val="none"/>
                <w:lang w:val="en-US" w:eastAsia="zh-CN"/>
              </w:rPr>
            </w:pPr>
            <w:r>
              <w:rPr>
                <w:rFonts w:hint="default" w:ascii="Times New Roman" w:hAnsi="Times New Roman" w:eastAsia="宋体" w:cs="Times New Roman"/>
                <w:color w:val="auto"/>
                <w:sz w:val="20"/>
                <w:szCs w:val="20"/>
                <w:highlight w:val="none"/>
                <w:lang w:eastAsia="zh-CN"/>
              </w:rPr>
              <w:t>Agreement:</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b/>
                <w:bCs/>
                <w:i/>
                <w:iCs/>
                <w:szCs w:val="21"/>
                <w:vertAlign w:val="baseline"/>
                <w:lang w:val="en-US" w:eastAsia="zh-CN"/>
              </w:rPr>
            </w:pPr>
            <w:r>
              <w:rPr>
                <w:rFonts w:hint="eastAsia" w:ascii="Times New Roman" w:hAnsi="Times New Roman" w:eastAsia="宋体" w:cs="Times New Roman"/>
                <w:color w:val="auto"/>
                <w:sz w:val="20"/>
                <w:szCs w:val="20"/>
                <w:lang w:val="en-US" w:eastAsia="zh-CN"/>
              </w:rPr>
              <w:t xml:space="preserve">For initial simulation, consider 16QAM Table 1 MCS13, 64QAM Table 1 MCS 22 and 256QAM Table 2 MCS 24 </w:t>
            </w:r>
          </w:p>
        </w:tc>
      </w:tr>
    </w:tbl>
    <w:p>
      <w:pPr>
        <w:widowControl w:val="0"/>
        <w:numPr>
          <w:ilvl w:val="0"/>
          <w:numId w:val="0"/>
        </w:numPr>
        <w:overflowPunct/>
        <w:autoSpaceDE/>
        <w:autoSpaceDN/>
        <w:adjustRightInd/>
        <w:spacing w:after="0"/>
        <w:textAlignment w:val="auto"/>
        <w:rPr>
          <w:rFonts w:hint="default"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We evaluated 16QAM Table 1 MCS13, 64QAM Table 1 MCS 22 and 256QAM Table 2 MCS 24</w:t>
      </w:r>
      <w:r>
        <w:rPr>
          <w:rFonts w:hint="eastAsia" w:cs="Times New Roman"/>
          <w:color w:val="auto"/>
          <w:sz w:val="20"/>
          <w:szCs w:val="20"/>
          <w:lang w:val="en-US" w:eastAsia="zh-CN"/>
        </w:rPr>
        <w:t xml:space="preserve"> with 2T2R, the SNR point of 70% maximum throughput and curves can be found in the following. From our simulation results, MCS 13 and MCS 22 can be tested in the reasonable SNR point, and for 256QAM with MCS 24, the SNR point is about 22.76dB, considering additional margin, the SNR could be a little higher. Therefore, we prefer to consider MCS 13 and MCS 22 to define requirements.</w:t>
      </w:r>
    </w:p>
    <w:p>
      <w:pPr>
        <w:widowControl w:val="0"/>
        <w:numPr>
          <w:ilvl w:val="0"/>
          <w:numId w:val="0"/>
        </w:numPr>
        <w:overflowPunct/>
        <w:autoSpaceDE/>
        <w:autoSpaceDN/>
        <w:adjustRightInd/>
        <w:spacing w:after="0"/>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Table 1. Simulation results for 2T2R Rank 2</w:t>
      </w:r>
    </w:p>
    <w:tbl>
      <w:tblPr>
        <w:tblStyle w:val="22"/>
        <w:tblW w:w="75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5"/>
        <w:gridCol w:w="1362"/>
        <w:gridCol w:w="1600"/>
        <w:gridCol w:w="1647"/>
        <w:gridCol w:w="16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9" w:hRule="atLeast"/>
          <w:jc w:val="center"/>
        </w:trPr>
        <w:tc>
          <w:tcPr>
            <w:tcW w:w="1295"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Propogation condition</w:t>
            </w:r>
          </w:p>
        </w:tc>
        <w:tc>
          <w:tcPr>
            <w:tcW w:w="1362"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Antenna configuration</w:t>
            </w:r>
          </w:p>
        </w:tc>
        <w:tc>
          <w:tcPr>
            <w:tcW w:w="1600"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MCS</w:t>
            </w:r>
          </w:p>
        </w:tc>
        <w:tc>
          <w:tcPr>
            <w:tcW w:w="1647"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lightGray"/>
                <w:u w:val="none"/>
                <w:lang w:val="en-US" w:eastAsia="zh-CN" w:bidi="ar"/>
              </w:rPr>
            </w:pPr>
            <w:r>
              <w:rPr>
                <w:rFonts w:hint="eastAsia" w:ascii="Arial" w:hAnsi="Arial" w:eastAsia="宋体" w:cs="Arial"/>
                <w:i w:val="0"/>
                <w:iCs w:val="0"/>
                <w:color w:val="auto"/>
                <w:kern w:val="0"/>
                <w:sz w:val="20"/>
                <w:szCs w:val="20"/>
                <w:highlight w:val="lightGray"/>
                <w:u w:val="none"/>
                <w:lang w:val="en-US" w:eastAsia="zh-CN" w:bidi="ar"/>
              </w:rPr>
              <w:t>Layer</w:t>
            </w:r>
          </w:p>
        </w:tc>
        <w:tc>
          <w:tcPr>
            <w:tcW w:w="1647"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lightGray"/>
                <w:u w:val="none"/>
                <w:lang w:val="en-US" w:eastAsia="zh-CN" w:bidi="ar"/>
              </w:rPr>
            </w:pPr>
            <w:r>
              <w:rPr>
                <w:rFonts w:hint="eastAsia" w:ascii="Arial" w:hAnsi="Arial" w:eastAsia="宋体" w:cs="Arial"/>
                <w:i w:val="0"/>
                <w:iCs w:val="0"/>
                <w:color w:val="auto"/>
                <w:kern w:val="0"/>
                <w:sz w:val="20"/>
                <w:szCs w:val="20"/>
                <w:highlight w:val="lightGray"/>
                <w:u w:val="none"/>
                <w:lang w:val="en-US" w:eastAsia="zh-CN" w:bidi="ar"/>
              </w:rPr>
              <w:t>SNR</w:t>
            </w:r>
            <w:r>
              <w:rPr>
                <w:rFonts w:hint="eastAsia" w:ascii="Arial" w:hAnsi="Arial" w:cs="Arial"/>
                <w:i w:val="0"/>
                <w:iCs w:val="0"/>
                <w:color w:val="auto"/>
                <w:kern w:val="0"/>
                <w:sz w:val="20"/>
                <w:szCs w:val="20"/>
                <w:highlight w:val="lightGray"/>
                <w:u w:val="none"/>
                <w:lang w:val="en-US" w:eastAsia="zh-CN" w:bidi="ar"/>
              </w:rPr>
              <w:t>(70% Max TP)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 w:hRule="atLeast"/>
          <w:jc w:val="center"/>
        </w:trPr>
        <w:tc>
          <w:tcPr>
            <w:tcW w:w="129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auto"/>
                <w:sz w:val="20"/>
                <w:szCs w:val="20"/>
                <w:u w:val="none"/>
                <w:lang w:val="en-US"/>
              </w:rPr>
            </w:pPr>
            <w:r>
              <w:rPr>
                <w:rFonts w:hint="default" w:ascii="Arial" w:hAnsi="Arial" w:eastAsia="宋体" w:cs="Arial"/>
                <w:i w:val="0"/>
                <w:iCs w:val="0"/>
                <w:color w:val="auto"/>
                <w:kern w:val="0"/>
                <w:sz w:val="20"/>
                <w:szCs w:val="20"/>
                <w:u w:val="none"/>
                <w:lang w:val="en-US" w:eastAsia="zh-CN" w:bidi="ar"/>
              </w:rPr>
              <w:t>AWGN</w:t>
            </w:r>
            <w:r>
              <w:rPr>
                <w:rFonts w:hint="eastAsia" w:ascii="Arial" w:hAnsi="Arial" w:eastAsia="宋体" w:cs="Arial"/>
                <w:i w:val="0"/>
                <w:iCs w:val="0"/>
                <w:color w:val="auto"/>
                <w:kern w:val="0"/>
                <w:sz w:val="20"/>
                <w:szCs w:val="20"/>
                <w:u w:val="none"/>
                <w:lang w:val="en-US" w:eastAsia="zh-CN" w:bidi="ar"/>
              </w:rPr>
              <w:t>+220Hz</w:t>
            </w:r>
          </w:p>
        </w:tc>
        <w:tc>
          <w:tcPr>
            <w:tcW w:w="136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2T2R</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16QAM Table 1 MCS13</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auto"/>
                <w:kern w:val="0"/>
                <w:sz w:val="20"/>
                <w:szCs w:val="20"/>
                <w:u w:val="none"/>
                <w:lang w:val="en-US" w:eastAsia="zh-CN" w:bidi="ar"/>
              </w:rPr>
            </w:pPr>
            <w:r>
              <w:rPr>
                <w:rFonts w:hint="eastAsia" w:ascii="Arial" w:hAnsi="Arial" w:eastAsia="宋体" w:cs="Arial"/>
                <w:i w:val="0"/>
                <w:iCs w:val="0"/>
                <w:color w:val="auto"/>
                <w:kern w:val="0"/>
                <w:sz w:val="20"/>
                <w:szCs w:val="20"/>
                <w:u w:val="none"/>
                <w:lang w:val="en-US" w:eastAsia="zh-CN" w:bidi="ar"/>
              </w:rPr>
              <w:t>Rank 2</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 xml:space="preserve">7.41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 w:hRule="atLeast"/>
          <w:jc w:val="center"/>
        </w:trPr>
        <w:tc>
          <w:tcPr>
            <w:tcW w:w="1295" w:type="dxa"/>
            <w:vMerge w:val="continue"/>
            <w:tcBorders>
              <w:left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auto"/>
                <w:sz w:val="20"/>
                <w:szCs w:val="20"/>
                <w:u w:val="none"/>
              </w:rPr>
            </w:pPr>
          </w:p>
        </w:tc>
        <w:tc>
          <w:tcPr>
            <w:tcW w:w="1362" w:type="dxa"/>
            <w:vMerge w:val="continue"/>
            <w:tcBorders>
              <w:left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auto"/>
                <w:sz w:val="20"/>
                <w:szCs w:val="20"/>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64QAM Table 1 MCS 22</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auto"/>
                <w:kern w:val="0"/>
                <w:sz w:val="20"/>
                <w:szCs w:val="20"/>
                <w:u w:val="none"/>
                <w:lang w:val="en-US" w:eastAsia="zh-CN" w:bidi="ar"/>
              </w:rPr>
            </w:pPr>
            <w:r>
              <w:rPr>
                <w:rFonts w:hint="eastAsia" w:ascii="Arial" w:hAnsi="Arial" w:eastAsia="宋体" w:cs="Arial"/>
                <w:i w:val="0"/>
                <w:iCs w:val="0"/>
                <w:color w:val="auto"/>
                <w:kern w:val="0"/>
                <w:sz w:val="20"/>
                <w:szCs w:val="20"/>
                <w:u w:val="none"/>
                <w:lang w:val="en-US" w:eastAsia="zh-CN" w:bidi="ar"/>
              </w:rPr>
              <w:t>Rank 2</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 xml:space="preserve">14.87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 w:hRule="atLeast"/>
          <w:jc w:val="center"/>
        </w:trPr>
        <w:tc>
          <w:tcPr>
            <w:tcW w:w="129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auto"/>
                <w:sz w:val="20"/>
                <w:szCs w:val="20"/>
                <w:u w:val="none"/>
              </w:rPr>
            </w:pPr>
          </w:p>
        </w:tc>
        <w:tc>
          <w:tcPr>
            <w:tcW w:w="136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auto"/>
                <w:sz w:val="20"/>
                <w:szCs w:val="20"/>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auto"/>
                <w:kern w:val="0"/>
                <w:sz w:val="20"/>
                <w:szCs w:val="20"/>
                <w:u w:val="none"/>
                <w:lang w:val="en-US" w:eastAsia="zh-CN" w:bidi="ar"/>
              </w:rPr>
            </w:pPr>
            <w:r>
              <w:rPr>
                <w:rFonts w:hint="eastAsia" w:ascii="Arial" w:hAnsi="Arial" w:cs="Arial"/>
                <w:i w:val="0"/>
                <w:iCs w:val="0"/>
                <w:color w:val="auto"/>
                <w:kern w:val="0"/>
                <w:sz w:val="20"/>
                <w:szCs w:val="20"/>
                <w:u w:val="none"/>
                <w:lang w:val="en-US" w:eastAsia="zh-CN" w:bidi="ar"/>
              </w:rPr>
              <w:t>256</w:t>
            </w:r>
            <w:r>
              <w:rPr>
                <w:rFonts w:hint="default" w:ascii="Arial" w:hAnsi="Arial" w:eastAsia="宋体" w:cs="Arial"/>
                <w:i w:val="0"/>
                <w:iCs w:val="0"/>
                <w:color w:val="auto"/>
                <w:kern w:val="0"/>
                <w:sz w:val="20"/>
                <w:szCs w:val="20"/>
                <w:u w:val="none"/>
                <w:lang w:val="en-US" w:eastAsia="zh-CN" w:bidi="ar"/>
              </w:rPr>
              <w:t xml:space="preserve">QAM Table </w:t>
            </w:r>
            <w:r>
              <w:rPr>
                <w:rFonts w:hint="eastAsia" w:ascii="Arial" w:hAnsi="Arial" w:cs="Arial"/>
                <w:i w:val="0"/>
                <w:iCs w:val="0"/>
                <w:color w:val="auto"/>
                <w:kern w:val="0"/>
                <w:sz w:val="20"/>
                <w:szCs w:val="20"/>
                <w:u w:val="none"/>
                <w:lang w:val="en-US" w:eastAsia="zh-CN" w:bidi="ar"/>
              </w:rPr>
              <w:t>2</w:t>
            </w:r>
            <w:r>
              <w:rPr>
                <w:rFonts w:hint="default" w:ascii="Arial" w:hAnsi="Arial" w:eastAsia="宋体" w:cs="Arial"/>
                <w:i w:val="0"/>
                <w:iCs w:val="0"/>
                <w:color w:val="auto"/>
                <w:kern w:val="0"/>
                <w:sz w:val="20"/>
                <w:szCs w:val="20"/>
                <w:u w:val="none"/>
                <w:lang w:val="en-US" w:eastAsia="zh-CN" w:bidi="ar"/>
              </w:rPr>
              <w:t xml:space="preserve"> MCS 2</w:t>
            </w:r>
            <w:r>
              <w:rPr>
                <w:rFonts w:hint="eastAsia" w:ascii="Arial" w:hAnsi="Arial" w:cs="Arial"/>
                <w:i w:val="0"/>
                <w:iCs w:val="0"/>
                <w:color w:val="auto"/>
                <w:kern w:val="0"/>
                <w:sz w:val="20"/>
                <w:szCs w:val="20"/>
                <w:u w:val="none"/>
                <w:lang w:val="en-US" w:eastAsia="zh-CN" w:bidi="ar"/>
              </w:rPr>
              <w:t>4</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Arial" w:hAnsi="Arial" w:eastAsia="宋体" w:cs="Arial"/>
                <w:i w:val="0"/>
                <w:iCs w:val="0"/>
                <w:color w:val="auto"/>
                <w:kern w:val="0"/>
                <w:sz w:val="20"/>
                <w:szCs w:val="20"/>
                <w:u w:val="none"/>
                <w:lang w:val="en-US" w:eastAsia="zh-CN" w:bidi="ar"/>
              </w:rPr>
            </w:pPr>
            <w:r>
              <w:rPr>
                <w:rFonts w:hint="eastAsia" w:ascii="Arial" w:hAnsi="Arial" w:eastAsia="宋体" w:cs="Arial"/>
                <w:i w:val="0"/>
                <w:iCs w:val="0"/>
                <w:color w:val="auto"/>
                <w:kern w:val="0"/>
                <w:sz w:val="20"/>
                <w:szCs w:val="20"/>
                <w:u w:val="none"/>
                <w:lang w:val="en-US" w:eastAsia="zh-CN" w:bidi="ar"/>
              </w:rPr>
              <w:t>Rank 2</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auto"/>
                <w:kern w:val="0"/>
                <w:sz w:val="20"/>
                <w:szCs w:val="20"/>
                <w:u w:val="none"/>
                <w:lang w:val="en-US" w:eastAsia="zh-CN" w:bidi="ar"/>
              </w:rPr>
            </w:pPr>
            <w:r>
              <w:rPr>
                <w:rFonts w:hint="eastAsia" w:ascii="Arial" w:hAnsi="Arial" w:cs="Arial"/>
                <w:i w:val="0"/>
                <w:iCs w:val="0"/>
                <w:color w:val="auto"/>
                <w:kern w:val="0"/>
                <w:sz w:val="20"/>
                <w:szCs w:val="20"/>
                <w:u w:val="none"/>
                <w:lang w:val="en-US" w:eastAsia="zh-CN" w:bidi="ar"/>
              </w:rPr>
              <w:t>22.76</w:t>
            </w:r>
          </w:p>
        </w:tc>
      </w:tr>
    </w:tbl>
    <w:p>
      <w:pPr>
        <w:widowControl w:val="0"/>
        <w:numPr>
          <w:ilvl w:val="0"/>
          <w:numId w:val="0"/>
        </w:numPr>
        <w:overflowPunct/>
        <w:autoSpaceDE/>
        <w:autoSpaceDN/>
        <w:adjustRightInd/>
        <w:spacing w:after="0"/>
        <w:textAlignment w:val="auto"/>
        <w:rPr>
          <w:rFonts w:hint="eastAsia" w:cs="Times New Roman"/>
          <w:color w:val="auto"/>
          <w:sz w:val="20"/>
          <w:szCs w:val="20"/>
          <w:lang w:val="en-US" w:eastAsia="zh-CN"/>
        </w:rPr>
      </w:pPr>
    </w:p>
    <w:p>
      <w:pPr>
        <w:widowControl w:val="0"/>
        <w:numPr>
          <w:ilvl w:val="0"/>
          <w:numId w:val="0"/>
        </w:numPr>
        <w:overflowPunct/>
        <w:autoSpaceDE/>
        <w:autoSpaceDN/>
        <w:adjustRightInd/>
        <w:spacing w:after="0"/>
        <w:jc w:val="center"/>
        <w:textAlignment w:val="auto"/>
        <w:rPr>
          <w:rFonts w:hint="eastAsia" w:cs="Times New Roman"/>
          <w:color w:val="auto"/>
          <w:sz w:val="20"/>
          <w:szCs w:val="20"/>
          <w:lang w:val="en-US" w:eastAsia="zh-CN"/>
        </w:rPr>
      </w:pPr>
    </w:p>
    <w:p>
      <w:pPr>
        <w:widowControl w:val="0"/>
        <w:numPr>
          <w:ilvl w:val="0"/>
          <w:numId w:val="0"/>
        </w:numPr>
        <w:overflowPunct/>
        <w:autoSpaceDE/>
        <w:autoSpaceDN/>
        <w:adjustRightInd/>
        <w:spacing w:after="0"/>
        <w:jc w:val="center"/>
        <w:textAlignment w:val="auto"/>
        <w:rPr>
          <w:rFonts w:hint="eastAsia" w:cs="Times New Roman"/>
          <w:color w:val="auto"/>
          <w:sz w:val="20"/>
          <w:szCs w:val="20"/>
          <w:lang w:val="en-US" w:eastAsia="zh-CN"/>
        </w:rPr>
      </w:pPr>
      <w:r>
        <w:rPr>
          <w:rFonts w:hint="eastAsia" w:cs="Times New Roman"/>
          <w:color w:val="auto"/>
          <w:sz w:val="20"/>
          <w:szCs w:val="20"/>
          <w:lang w:val="en-US" w:eastAsia="zh-CN"/>
        </w:rPr>
        <w:t>Table 2.  Throughput curves for 2T2R Rank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widowControl w:val="0"/>
              <w:numPr>
                <w:ilvl w:val="0"/>
                <w:numId w:val="0"/>
              </w:numPr>
              <w:overflowPunct/>
              <w:autoSpaceDE/>
              <w:autoSpaceDN/>
              <w:adjustRightInd/>
              <w:spacing w:after="0"/>
              <w:textAlignment w:val="auto"/>
            </w:pPr>
            <w:r>
              <w:drawing>
                <wp:inline distT="0" distB="0" distL="114300" distR="114300">
                  <wp:extent cx="2950210" cy="2327275"/>
                  <wp:effectExtent l="0" t="0" r="6350" b="444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a:stretch>
                            <a:fillRect/>
                          </a:stretch>
                        </pic:blipFill>
                        <pic:spPr>
                          <a:xfrm>
                            <a:off x="0" y="0"/>
                            <a:ext cx="2950210" cy="2327275"/>
                          </a:xfrm>
                          <a:prstGeom prst="rect">
                            <a:avLst/>
                          </a:prstGeom>
                          <a:noFill/>
                          <a:ln>
                            <a:noFill/>
                          </a:ln>
                        </pic:spPr>
                      </pic:pic>
                    </a:graphicData>
                  </a:graphic>
                </wp:inline>
              </w:drawing>
            </w:r>
          </w:p>
          <w:p>
            <w:pPr>
              <w:widowControl w:val="0"/>
              <w:numPr>
                <w:ilvl w:val="0"/>
                <w:numId w:val="0"/>
              </w:numPr>
              <w:overflowPunct/>
              <w:autoSpaceDE/>
              <w:autoSpaceDN/>
              <w:adjustRightInd/>
              <w:spacing w:after="0"/>
              <w:jc w:val="center"/>
              <w:textAlignment w:val="auto"/>
              <w:rPr>
                <w:rFonts w:hint="default" w:eastAsia="宋体"/>
                <w:lang w:val="en-US" w:eastAsia="zh-CN"/>
              </w:rPr>
            </w:pPr>
            <w:r>
              <w:rPr>
                <w:rFonts w:hint="eastAsia"/>
                <w:lang w:val="en-US" w:eastAsia="zh-CN"/>
              </w:rPr>
              <w:t xml:space="preserve">Fig 1. FDD, MCS13, Rank 1 and Rank 2 </w:t>
            </w:r>
          </w:p>
        </w:tc>
        <w:tc>
          <w:tcPr>
            <w:tcW w:w="4938" w:type="dxa"/>
          </w:tcPr>
          <w:p>
            <w:pPr>
              <w:widowControl w:val="0"/>
              <w:numPr>
                <w:ilvl w:val="0"/>
                <w:numId w:val="0"/>
              </w:numPr>
              <w:overflowPunct/>
              <w:autoSpaceDE/>
              <w:autoSpaceDN/>
              <w:adjustRightInd/>
              <w:spacing w:after="0"/>
              <w:textAlignment w:val="auto"/>
            </w:pPr>
            <w:r>
              <w:drawing>
                <wp:inline distT="0" distB="0" distL="114300" distR="114300">
                  <wp:extent cx="2939415" cy="2343785"/>
                  <wp:effectExtent l="0" t="0" r="1905"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2939415" cy="2343785"/>
                          </a:xfrm>
                          <a:prstGeom prst="rect">
                            <a:avLst/>
                          </a:prstGeom>
                          <a:noFill/>
                          <a:ln>
                            <a:noFill/>
                          </a:ln>
                        </pic:spPr>
                      </pic:pic>
                    </a:graphicData>
                  </a:graphic>
                </wp:inline>
              </w:drawing>
            </w:r>
          </w:p>
          <w:p>
            <w:pPr>
              <w:widowControl w:val="0"/>
              <w:numPr>
                <w:ilvl w:val="0"/>
                <w:numId w:val="0"/>
              </w:numPr>
              <w:overflowPunct/>
              <w:autoSpaceDE/>
              <w:autoSpaceDN/>
              <w:adjustRightInd/>
              <w:spacing w:after="0"/>
              <w:jc w:val="center"/>
              <w:textAlignment w:val="auto"/>
              <w:rPr>
                <w:rFonts w:hint="eastAsia"/>
                <w:lang w:val="en-US" w:eastAsia="zh-CN"/>
              </w:rPr>
            </w:pPr>
            <w:r>
              <w:rPr>
                <w:rFonts w:hint="eastAsia"/>
                <w:lang w:val="en-US" w:eastAsia="zh-CN"/>
              </w:rPr>
              <w:t>Fig 2. FDD, MCS22, Rank 1 and Rank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widowControl w:val="0"/>
              <w:numPr>
                <w:ilvl w:val="0"/>
                <w:numId w:val="0"/>
              </w:numPr>
              <w:overflowPunct/>
              <w:autoSpaceDE/>
              <w:autoSpaceDN/>
              <w:adjustRightInd/>
              <w:spacing w:after="0"/>
              <w:textAlignment w:val="auto"/>
              <w:rPr>
                <w:rFonts w:hint="eastAsia"/>
                <w:lang w:val="en-US" w:eastAsia="zh-CN"/>
              </w:rPr>
            </w:pPr>
            <w:r>
              <w:rPr>
                <w:rFonts w:hint="eastAsia"/>
                <w:lang w:val="en-US" w:eastAsia="zh-CN"/>
              </w:rPr>
              <w:t xml:space="preserve">    </w:t>
            </w:r>
            <w:bookmarkStart w:id="10" w:name="_GoBack"/>
            <w:r>
              <w:drawing>
                <wp:inline distT="0" distB="0" distL="114300" distR="114300">
                  <wp:extent cx="2924175" cy="2162175"/>
                  <wp:effectExtent l="0" t="0" r="190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2924175" cy="2162175"/>
                          </a:xfrm>
                          <a:prstGeom prst="rect">
                            <a:avLst/>
                          </a:prstGeom>
                          <a:noFill/>
                          <a:ln>
                            <a:noFill/>
                          </a:ln>
                        </pic:spPr>
                      </pic:pic>
                    </a:graphicData>
                  </a:graphic>
                </wp:inline>
              </w:drawing>
            </w:r>
            <w:bookmarkEnd w:id="10"/>
          </w:p>
          <w:p>
            <w:pPr>
              <w:widowControl w:val="0"/>
              <w:numPr>
                <w:ilvl w:val="0"/>
                <w:numId w:val="0"/>
              </w:numPr>
              <w:overflowPunct/>
              <w:autoSpaceDE/>
              <w:autoSpaceDN/>
              <w:adjustRightInd/>
              <w:spacing w:after="0"/>
              <w:jc w:val="center"/>
              <w:textAlignment w:val="auto"/>
              <w:rPr>
                <w:rFonts w:hint="eastAsia" w:cs="Times New Roman"/>
                <w:color w:val="auto"/>
                <w:sz w:val="20"/>
                <w:szCs w:val="20"/>
                <w:vertAlign w:val="baseline"/>
                <w:lang w:val="en-US" w:eastAsia="zh-CN"/>
              </w:rPr>
            </w:pPr>
            <w:r>
              <w:rPr>
                <w:rFonts w:hint="eastAsia"/>
                <w:lang w:val="en-US" w:eastAsia="zh-CN"/>
              </w:rPr>
              <w:t>Fig 3. FDD, MCS24, Rank 1 and Rank 2</w:t>
            </w:r>
          </w:p>
        </w:tc>
        <w:tc>
          <w:tcPr>
            <w:tcW w:w="4938" w:type="dxa"/>
          </w:tcPr>
          <w:p>
            <w:pPr>
              <w:widowControl w:val="0"/>
              <w:numPr>
                <w:ilvl w:val="0"/>
                <w:numId w:val="0"/>
              </w:numPr>
              <w:overflowPunct/>
              <w:autoSpaceDE/>
              <w:autoSpaceDN/>
              <w:adjustRightInd/>
              <w:spacing w:after="0"/>
              <w:textAlignment w:val="auto"/>
              <w:rPr>
                <w:rFonts w:hint="eastAsia" w:cs="Times New Roman"/>
                <w:color w:val="auto"/>
                <w:sz w:val="20"/>
                <w:szCs w:val="20"/>
                <w:vertAlign w:val="baseline"/>
                <w:lang w:val="en-US" w:eastAsia="zh-CN"/>
              </w:rPr>
            </w:pPr>
          </w:p>
        </w:tc>
      </w:tr>
    </w:tbl>
    <w:p>
      <w:pPr>
        <w:widowControl w:val="0"/>
        <w:numPr>
          <w:ilvl w:val="0"/>
          <w:numId w:val="0"/>
        </w:numPr>
        <w:overflowPunct/>
        <w:autoSpaceDE/>
        <w:autoSpaceDN/>
        <w:adjustRightInd/>
        <w:spacing w:after="0"/>
        <w:textAlignment w:val="auto"/>
        <w:rPr>
          <w:rFonts w:hint="default" w:cs="Times New Roman"/>
          <w:color w:val="auto"/>
          <w:sz w:val="20"/>
          <w:szCs w:val="20"/>
          <w:lang w:val="en-US" w:eastAsia="zh-CN"/>
        </w:rPr>
      </w:pPr>
    </w:p>
    <w:p>
      <w:pPr>
        <w:widowControl w:val="0"/>
        <w:numPr>
          <w:ilvl w:val="0"/>
          <w:numId w:val="0"/>
        </w:numPr>
        <w:overflowPunct/>
        <w:autoSpaceDE/>
        <w:autoSpaceDN/>
        <w:adjustRightInd/>
        <w:spacing w:after="0"/>
        <w:textAlignment w:val="auto"/>
        <w:rPr>
          <w:rFonts w:hint="default" w:cs="Times New Roman"/>
          <w:b/>
          <w:bCs/>
          <w:i/>
          <w:iCs/>
          <w:color w:val="auto"/>
          <w:sz w:val="20"/>
          <w:szCs w:val="20"/>
          <w:lang w:val="en-US" w:eastAsia="zh-CN"/>
        </w:rPr>
      </w:pPr>
      <w:r>
        <w:rPr>
          <w:rFonts w:hint="eastAsia" w:cs="Times New Roman"/>
          <w:b/>
          <w:bCs/>
          <w:i/>
          <w:iCs/>
          <w:color w:val="auto"/>
          <w:sz w:val="20"/>
          <w:szCs w:val="20"/>
          <w:lang w:val="en-US" w:eastAsia="zh-CN"/>
        </w:rPr>
        <w:t>Observation 1. From our simulation results, MCS 13 and MCS 22 can be tested in the reasonable SNR point, and for 256QAM with MCS 24, the SNR point about 22.76dB, considering additional margin, the SNR could be a little higher.</w:t>
      </w:r>
    </w:p>
    <w:p>
      <w:pPr>
        <w:widowControl w:val="0"/>
        <w:numPr>
          <w:ilvl w:val="0"/>
          <w:numId w:val="0"/>
        </w:numPr>
        <w:overflowPunct/>
        <w:autoSpaceDE/>
        <w:autoSpaceDN/>
        <w:adjustRightInd/>
        <w:spacing w:after="0"/>
        <w:textAlignment w:val="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Proposal 5. Propose to consider MCS 13 and MCS 22 defining demodulation requirements.</w:t>
      </w:r>
    </w:p>
    <w:p>
      <w:pPr>
        <w:widowControl w:val="0"/>
        <w:numPr>
          <w:ilvl w:val="0"/>
          <w:numId w:val="0"/>
        </w:numPr>
        <w:overflowPunct/>
        <w:autoSpaceDE/>
        <w:autoSpaceDN/>
        <w:adjustRightInd/>
        <w:spacing w:after="0"/>
        <w:textAlignment w:val="auto"/>
        <w:rPr>
          <w:rFonts w:hint="default" w:cs="Times New Roman"/>
          <w:b/>
          <w:bCs/>
          <w:i/>
          <w:iCs/>
          <w:color w:val="auto"/>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val="0"/>
          <w:iCs w:val="0"/>
          <w:kern w:val="2"/>
          <w:sz w:val="21"/>
          <w:szCs w:val="21"/>
          <w:lang w:val="en-US" w:eastAsia="zh-CN" w:bidi="ar-SA"/>
        </w:rPr>
      </w:pPr>
      <w:r>
        <w:rPr>
          <w:rFonts w:hint="eastAsia" w:cs="Times New Roman"/>
          <w:b/>
          <w:bCs/>
          <w:i w:val="0"/>
          <w:iCs w:val="0"/>
          <w:kern w:val="2"/>
          <w:sz w:val="21"/>
          <w:szCs w:val="21"/>
          <w:lang w:val="en-US" w:eastAsia="zh-CN" w:bidi="ar-SA"/>
        </w:rPr>
        <w:t>UL MIMO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cs="Times New Roman"/>
          <w:b/>
          <w:bCs/>
          <w:i w:val="0"/>
          <w:iCs w:val="0"/>
          <w:kern w:val="2"/>
          <w:sz w:val="21"/>
          <w:szCs w:val="21"/>
          <w:lang w:val="en-US" w:eastAsia="zh-CN" w:bidi="ar-SA"/>
        </w:rPr>
      </w:pPr>
      <w:r>
        <w:rPr>
          <w:rFonts w:hint="eastAsia"/>
          <w:b/>
          <w:color w:val="auto"/>
          <w:u w:val="single"/>
          <w:lang w:val="en-US" w:eastAsia="zh-CN"/>
        </w:rPr>
        <w:t>Whether to reuse existing requirements for ATG UL MIMO</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tabs>
                <w:tab w:val="left" w:pos="0"/>
              </w:tabs>
              <w:overflowPunct/>
              <w:autoSpaceDE/>
              <w:autoSpaceDN/>
              <w:adjustRightInd/>
              <w:snapToGrid w:val="0"/>
              <w:spacing w:after="120"/>
              <w:textAlignment w:val="baseline"/>
              <w:rPr>
                <w:rFonts w:hint="default"/>
                <w:color w:val="auto"/>
                <w:highlight w:val="none"/>
                <w:lang w:val="en-US" w:eastAsia="zh-CN"/>
              </w:rPr>
            </w:pPr>
            <w:r>
              <w:rPr>
                <w:rFonts w:hint="default" w:ascii="Times New Roman" w:hAnsi="Times New Roman" w:eastAsia="宋体" w:cs="Times New Roman"/>
                <w:color w:val="auto"/>
                <w:sz w:val="20"/>
                <w:szCs w:val="20"/>
                <w:highlight w:val="none"/>
                <w:lang w:eastAsia="zh-CN"/>
              </w:rPr>
              <w:t>Agreement:</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The legacy PUSCH test cases in Clause 8.2.1with 2Tx 2 layer will be applied for ATG</w:t>
            </w:r>
          </w:p>
          <w:p>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after="120"/>
              <w:textAlignment w:val="baseline"/>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FFS:</w:t>
            </w:r>
          </w:p>
          <w:p>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after="120"/>
              <w:textAlignment w:val="baseline"/>
              <w:rPr>
                <w:rFonts w:hint="default" w:eastAsiaTheme="minorEastAsia"/>
                <w:sz w:val="21"/>
                <w:szCs w:val="21"/>
                <w:vertAlign w:val="baseline"/>
                <w:lang w:val="en-US" w:eastAsia="zh-CN"/>
              </w:rPr>
            </w:pPr>
            <w:r>
              <w:rPr>
                <w:rFonts w:hint="eastAsia" w:eastAsia="宋体" w:cs="Times New Roman"/>
                <w:color w:val="auto"/>
                <w:sz w:val="20"/>
                <w:szCs w:val="20"/>
                <w:lang w:val="en-US" w:eastAsia="zh-CN"/>
              </w:rPr>
              <w:tab/>
            </w:r>
            <w:r>
              <w:rPr>
                <w:rFonts w:hint="eastAsia" w:eastAsia="宋体" w:cs="Times New Roman"/>
                <w:color w:val="auto"/>
                <w:sz w:val="20"/>
                <w:szCs w:val="20"/>
                <w:lang w:val="en-US" w:eastAsia="zh-CN"/>
              </w:rPr>
              <w:t>Whether other legacy test cases are needed.</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sz w:val="21"/>
          <w:szCs w:val="21"/>
          <w:lang w:val="en-US" w:eastAsia="zh-CN"/>
        </w:rPr>
      </w:pPr>
      <w:r>
        <w:rPr>
          <w:rFonts w:hint="eastAsia" w:eastAsiaTheme="minorEastAsia"/>
          <w:sz w:val="21"/>
          <w:szCs w:val="21"/>
          <w:lang w:val="en-US" w:eastAsia="zh-CN"/>
        </w:rPr>
        <w:t xml:space="preserve">Regarding UL demodulation requirements, RAN4 has a common understanding that all BS types shall pass the Rel-15 feature demodulation requirements during the conformance testing. Considering the Rel-19 ATG feature, which is only focus on UL MIMO with 2Tx, the legacy requirements with 2Tx shall be selected. And for other legacy test cases, we do not think it is necessary.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ascii="Times New Roman" w:hAnsi="Times New Roman" w:eastAsia="宋体"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6</w:t>
      </w:r>
      <w:r>
        <w:rPr>
          <w:rFonts w:hint="eastAsia" w:ascii="Times New Roman" w:hAnsi="Times New Roman" w:eastAsia="宋体" w:cs="Times New Roman"/>
          <w:b/>
          <w:bCs/>
          <w:i/>
          <w:iCs/>
          <w:kern w:val="2"/>
          <w:sz w:val="21"/>
          <w:szCs w:val="21"/>
          <w:lang w:val="en-US" w:eastAsia="zh-CN" w:bidi="ar-SA"/>
        </w:rPr>
        <w:t xml:space="preserve">. No need to consider other legacy test cases.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ascii="Times New Roman" w:hAnsi="Times New Roman" w:eastAsia="宋体" w:cs="Times New Roman"/>
          <w:b/>
          <w:bCs/>
          <w:i/>
          <w:iCs/>
          <w:kern w:val="2"/>
          <w:sz w:val="21"/>
          <w:szCs w:val="21"/>
          <w:lang w:val="en-US" w:eastAsia="zh-CN" w:bidi="ar-SA"/>
        </w:rPr>
      </w:pPr>
    </w:p>
    <w:p>
      <w:pPr>
        <w:rPr>
          <w:rFonts w:hint="eastAsia"/>
          <w:b/>
          <w:color w:val="auto"/>
          <w:u w:val="single"/>
          <w:lang w:val="en-US" w:eastAsia="zh-CN"/>
        </w:rPr>
      </w:pPr>
      <w:r>
        <w:rPr>
          <w:rFonts w:hint="eastAsia"/>
          <w:b/>
          <w:color w:val="auto"/>
          <w:u w:val="single"/>
          <w:lang w:val="en-US" w:eastAsia="zh-CN"/>
        </w:rPr>
        <w:t>Issue 3-1-2: Whether to introduce new test cases for ATG UL MIMO</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3"/>
              <w:numPr>
                <w:ilvl w:val="0"/>
                <w:numId w:val="9"/>
              </w:numPr>
              <w:overflowPunct/>
              <w:autoSpaceDE/>
              <w:autoSpaceDN/>
              <w:adjustRightInd/>
              <w:spacing w:after="120"/>
              <w:ind w:left="720" w:leftChars="0" w:firstLineChars="0"/>
              <w:textAlignment w:val="auto"/>
              <w:rPr>
                <w:rFonts w:eastAsia="宋体"/>
                <w:b/>
                <w:bCs/>
                <w:color w:val="auto"/>
                <w:sz w:val="20"/>
                <w:szCs w:val="20"/>
                <w:lang w:eastAsia="zh-CN"/>
              </w:rPr>
            </w:pPr>
            <w:r>
              <w:rPr>
                <w:rFonts w:eastAsia="宋体"/>
                <w:b/>
                <w:bCs/>
                <w:color w:val="auto"/>
                <w:sz w:val="20"/>
                <w:szCs w:val="20"/>
                <w:lang w:eastAsia="zh-CN"/>
              </w:rPr>
              <w:t>Proposals</w:t>
            </w:r>
          </w:p>
          <w:p>
            <w:pPr>
              <w:pStyle w:val="33"/>
              <w:numPr>
                <w:ilvl w:val="1"/>
                <w:numId w:val="9"/>
              </w:numPr>
              <w:overflowPunct/>
              <w:autoSpaceDE/>
              <w:autoSpaceDN/>
              <w:adjustRightInd/>
              <w:spacing w:after="120"/>
              <w:ind w:left="1440" w:leftChars="0" w:firstLineChars="0"/>
              <w:textAlignment w:val="auto"/>
              <w:rPr>
                <w:rFonts w:hint="eastAsia" w:eastAsia="宋体"/>
                <w:color w:val="auto"/>
                <w:sz w:val="20"/>
                <w:szCs w:val="20"/>
                <w:lang w:val="en-US" w:eastAsia="zh-CN"/>
              </w:rPr>
            </w:pPr>
            <w:r>
              <w:rPr>
                <w:rFonts w:hint="eastAsia" w:eastAsia="宋体"/>
                <w:color w:val="auto"/>
                <w:sz w:val="20"/>
                <w:szCs w:val="20"/>
                <w:lang w:val="en-US" w:eastAsia="zh-CN"/>
              </w:rPr>
              <w:t xml:space="preserve">Proposal </w:t>
            </w:r>
            <w:r>
              <w:rPr>
                <w:rFonts w:eastAsia="宋体"/>
                <w:color w:val="auto"/>
                <w:sz w:val="20"/>
                <w:szCs w:val="20"/>
                <w:lang w:val="en-US" w:eastAsia="zh-CN"/>
              </w:rPr>
              <w:t>1</w:t>
            </w:r>
            <w:r>
              <w:rPr>
                <w:rFonts w:hint="eastAsia" w:eastAsia="宋体"/>
                <w:color w:val="auto"/>
                <w:sz w:val="20"/>
                <w:szCs w:val="20"/>
                <w:lang w:val="en-US" w:eastAsia="zh-CN"/>
              </w:rPr>
              <w:t>:</w:t>
            </w:r>
          </w:p>
          <w:p>
            <w:pPr>
              <w:pStyle w:val="33"/>
              <w:numPr>
                <w:ilvl w:val="2"/>
                <w:numId w:val="9"/>
              </w:numPr>
              <w:overflowPunct/>
              <w:autoSpaceDE/>
              <w:autoSpaceDN/>
              <w:adjustRightInd/>
              <w:spacing w:after="120"/>
              <w:ind w:left="1860" w:leftChars="0" w:firstLineChars="0"/>
              <w:textAlignment w:val="auto"/>
              <w:rPr>
                <w:rFonts w:hint="eastAsia" w:eastAsia="宋体"/>
                <w:color w:val="auto"/>
                <w:sz w:val="20"/>
                <w:szCs w:val="20"/>
                <w:lang w:val="en-US" w:eastAsia="zh-CN"/>
              </w:rPr>
            </w:pPr>
            <w:r>
              <w:rPr>
                <w:rFonts w:hint="eastAsia" w:eastAsia="Yu Mincho"/>
                <w:color w:val="auto"/>
                <w:sz w:val="20"/>
                <w:szCs w:val="20"/>
              </w:rPr>
              <w:t xml:space="preserve">incremental PUSCH 2 layer test cases </w:t>
            </w:r>
            <w:r>
              <w:rPr>
                <w:rFonts w:hint="eastAsia" w:eastAsia="宋体"/>
                <w:color w:val="auto"/>
                <w:sz w:val="20"/>
                <w:szCs w:val="20"/>
                <w:lang w:val="en-US" w:eastAsia="zh-CN"/>
              </w:rPr>
              <w:t>need to</w:t>
            </w:r>
            <w:r>
              <w:rPr>
                <w:rFonts w:hint="eastAsia" w:eastAsia="Yu Mincho"/>
                <w:color w:val="auto"/>
                <w:sz w:val="20"/>
                <w:szCs w:val="20"/>
              </w:rPr>
              <w:t xml:space="preserve"> be introduced</w:t>
            </w:r>
          </w:p>
          <w:p>
            <w:pPr>
              <w:pStyle w:val="33"/>
              <w:numPr>
                <w:ilvl w:val="1"/>
                <w:numId w:val="9"/>
              </w:numPr>
              <w:overflowPunct/>
              <w:autoSpaceDE/>
              <w:autoSpaceDN/>
              <w:adjustRightInd/>
              <w:spacing w:after="120"/>
              <w:ind w:left="1440" w:leftChars="0" w:firstLineChars="0"/>
              <w:textAlignment w:val="auto"/>
              <w:rPr>
                <w:rFonts w:hint="eastAsia" w:eastAsia="宋体"/>
                <w:color w:val="auto"/>
                <w:sz w:val="20"/>
                <w:szCs w:val="20"/>
                <w:lang w:val="en-US" w:eastAsia="zh-CN"/>
              </w:rPr>
            </w:pPr>
            <w:r>
              <w:rPr>
                <w:rFonts w:hint="eastAsia" w:eastAsia="宋体"/>
                <w:color w:val="auto"/>
                <w:sz w:val="20"/>
                <w:szCs w:val="20"/>
                <w:lang w:val="en-US" w:eastAsia="zh-CN"/>
              </w:rPr>
              <w:t>Proposal 2:</w:t>
            </w:r>
          </w:p>
          <w:p>
            <w:pPr>
              <w:pStyle w:val="33"/>
              <w:numPr>
                <w:ilvl w:val="2"/>
                <w:numId w:val="9"/>
              </w:numPr>
              <w:overflowPunct/>
              <w:autoSpaceDE/>
              <w:autoSpaceDN/>
              <w:adjustRightInd/>
              <w:spacing w:after="120"/>
              <w:ind w:left="1860" w:leftChars="0" w:firstLineChars="0"/>
              <w:textAlignment w:val="auto"/>
              <w:rPr>
                <w:rFonts w:hint="default" w:eastAsiaTheme="minorEastAsia"/>
                <w:sz w:val="21"/>
                <w:szCs w:val="21"/>
                <w:vertAlign w:val="baseline"/>
                <w:lang w:val="en-US" w:eastAsia="zh-CN"/>
              </w:rPr>
            </w:pPr>
            <w:r>
              <w:rPr>
                <w:rFonts w:hint="eastAsia" w:eastAsia="Yu Mincho"/>
                <w:color w:val="auto"/>
                <w:sz w:val="20"/>
                <w:szCs w:val="20"/>
              </w:rPr>
              <w:t>Do not introduce new 2Tx PUSCH requirements for ATG scenario</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sz w:val="21"/>
          <w:szCs w:val="21"/>
          <w:lang w:val="en-US" w:eastAsia="zh-CN"/>
        </w:rPr>
      </w:pPr>
      <w:r>
        <w:rPr>
          <w:rFonts w:hint="eastAsia" w:eastAsiaTheme="minorEastAsia"/>
          <w:sz w:val="21"/>
          <w:szCs w:val="21"/>
          <w:lang w:val="en-US" w:eastAsia="zh-CN"/>
        </w:rPr>
        <w:t xml:space="preserve">As discussed in the above, ATG BS shall pass the legacy test cases at first during the conformance testing. However, due to the frequency offset caused by aircraft movement, the baseband performance needs to be verified even though RAN4 only assumes 0.1ppm frequency offset after pre-compensation. From this point of view, we prefer to introduce incremental PUSCH 2 layers test cases.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ascii="Times New Roman" w:hAnsi="Times New Roman" w:eastAsia="宋体"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7</w:t>
      </w:r>
      <w:r>
        <w:rPr>
          <w:rFonts w:hint="eastAsia" w:ascii="Times New Roman" w:hAnsi="Times New Roman" w:eastAsia="宋体" w:cs="Times New Roman"/>
          <w:b/>
          <w:bCs/>
          <w:i/>
          <w:iCs/>
          <w:kern w:val="2"/>
          <w:sz w:val="21"/>
          <w:szCs w:val="21"/>
          <w:lang w:val="en-US" w:eastAsia="zh-CN" w:bidi="ar-SA"/>
        </w:rPr>
        <w:t>.</w:t>
      </w:r>
      <w:r>
        <w:rPr>
          <w:rFonts w:hint="eastAsia" w:cs="Times New Roman"/>
          <w:b/>
          <w:bCs/>
          <w:i/>
          <w:iCs/>
          <w:kern w:val="2"/>
          <w:sz w:val="21"/>
          <w:szCs w:val="21"/>
          <w:lang w:val="en-US" w:eastAsia="zh-CN" w:bidi="ar-SA"/>
        </w:rPr>
        <w:t xml:space="preserve"> Propose to introduce incremental PUSCH 2 layer test cases.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p>
    <w:bookmarkEnd w:id="6"/>
    <w:bookmarkEnd w:id="7"/>
    <w:bookmarkEnd w:id="8"/>
    <w:bookmarkEnd w:id="9"/>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of </w:t>
      </w:r>
      <w:r>
        <w:rPr>
          <w:rFonts w:hint="eastAsia"/>
          <w:bCs/>
          <w:kern w:val="0"/>
          <w:szCs w:val="21"/>
          <w:lang w:val="en-US" w:eastAsia="zh-CN"/>
        </w:rPr>
        <w:t>ATG UE demodulation requirements</w:t>
      </w:r>
      <w:r>
        <w:rPr>
          <w:rFonts w:hint="eastAsia"/>
          <w:bCs/>
          <w:kern w:val="0"/>
          <w:szCs w:val="21"/>
        </w:rPr>
        <w:t>, The conclusions are:</w:t>
      </w:r>
    </w:p>
    <w:p>
      <w:pPr>
        <w:widowControl w:val="0"/>
        <w:numPr>
          <w:ilvl w:val="0"/>
          <w:numId w:val="0"/>
        </w:numPr>
        <w:overflowPunct/>
        <w:autoSpaceDE/>
        <w:autoSpaceDN/>
        <w:adjustRightInd/>
        <w:spacing w:after="0"/>
        <w:textAlignment w:val="auto"/>
        <w:rPr>
          <w:rFonts w:hint="default" w:cs="Times New Roman"/>
          <w:b/>
          <w:bCs/>
          <w:i/>
          <w:iCs/>
          <w:color w:val="auto"/>
          <w:sz w:val="20"/>
          <w:szCs w:val="20"/>
          <w:lang w:val="en-US" w:eastAsia="zh-CN"/>
        </w:rPr>
      </w:pPr>
      <w:r>
        <w:rPr>
          <w:rFonts w:hint="eastAsia" w:cs="Times New Roman"/>
          <w:b/>
          <w:bCs/>
          <w:i/>
          <w:iCs/>
          <w:color w:val="auto"/>
          <w:sz w:val="20"/>
          <w:szCs w:val="20"/>
          <w:lang w:val="en-US" w:eastAsia="zh-CN"/>
        </w:rPr>
        <w:t>Observation 1. From our simulation results, MCS 13 and MCS 22 can be tested in the reasonable SNR point, and for 256QAM with MCS 24, the SNR point about 22.76dB, considering additional margin, the SNR could be a little higher.</w:t>
      </w:r>
    </w:p>
    <w:p>
      <w:pPr>
        <w:widowControl w:val="0"/>
        <w:numPr>
          <w:ilvl w:val="0"/>
          <w:numId w:val="0"/>
        </w:numPr>
        <w:overflowPunct/>
        <w:autoSpaceDE/>
        <w:autoSpaceDN/>
        <w:adjustRightInd/>
        <w:spacing w:after="0"/>
        <w:textAlignment w:val="auto"/>
        <w:rPr>
          <w:rFonts w:hint="default"/>
          <w:bCs/>
          <w:kern w:val="0"/>
          <w:szCs w:val="21"/>
          <w:lang w:val="en-US" w:eastAsia="zh-CN"/>
        </w:rPr>
      </w:pPr>
      <w:r>
        <w:rPr>
          <w:rFonts w:hint="eastAsia"/>
          <w:b/>
          <w:bCs/>
          <w:i/>
          <w:iCs/>
          <w:szCs w:val="21"/>
          <w:lang w:val="en-US" w:eastAsia="zh-CN"/>
        </w:rPr>
        <w:t>Proposal 1. Propose not to define FDD 15 kHz + FDD 15 kHz for R-19 enhanced ATG DL CA requirements.</w:t>
      </w:r>
    </w:p>
    <w:p>
      <w:pPr>
        <w:widowControl w:val="0"/>
        <w:numPr>
          <w:ilvl w:val="0"/>
          <w:numId w:val="0"/>
        </w:numPr>
        <w:overflowPunct/>
        <w:autoSpaceDE/>
        <w:autoSpaceDN/>
        <w:adjustRightInd/>
        <w:spacing w:after="0"/>
        <w:textAlignment w:val="auto"/>
        <w:rPr>
          <w:rFonts w:hint="eastAsia"/>
          <w:b/>
          <w:color w:val="auto"/>
          <w:u w:val="single"/>
          <w:lang w:val="en-US" w:eastAsia="zh-CN"/>
        </w:rPr>
      </w:pPr>
      <w:r>
        <w:rPr>
          <w:rFonts w:hint="eastAsia"/>
          <w:b/>
          <w:bCs/>
          <w:i/>
          <w:iCs/>
          <w:szCs w:val="21"/>
          <w:lang w:val="en-US" w:eastAsia="zh-CN"/>
        </w:rPr>
        <w:t>Proposal 2. Propose to define new TDD pattern 30D4S6U for R-19 enhanced ATG DL CA requirements.</w:t>
      </w:r>
    </w:p>
    <w:p>
      <w:pPr>
        <w:widowControl w:val="0"/>
        <w:numPr>
          <w:ilvl w:val="0"/>
          <w:numId w:val="0"/>
        </w:numPr>
        <w:overflowPunct/>
        <w:autoSpaceDE/>
        <w:autoSpaceDN/>
        <w:adjustRightInd/>
        <w:spacing w:after="0"/>
        <w:textAlignment w:val="auto"/>
        <w:rPr>
          <w:rFonts w:hint="default"/>
          <w:bCs/>
          <w:kern w:val="0"/>
          <w:szCs w:val="21"/>
          <w:lang w:val="en-US" w:eastAsia="zh-CN"/>
        </w:rPr>
      </w:pPr>
      <w:r>
        <w:rPr>
          <w:rFonts w:hint="eastAsia"/>
          <w:b/>
          <w:bCs/>
          <w:i/>
          <w:iCs/>
          <w:szCs w:val="21"/>
          <w:lang w:val="en-US" w:eastAsia="zh-CN"/>
        </w:rPr>
        <w:t>Proposal 3. Propose to only consider Rank 1 for DL CA demodulation requirements.</w:t>
      </w:r>
    </w:p>
    <w:p>
      <w:pPr>
        <w:widowControl w:val="0"/>
        <w:numPr>
          <w:ilvl w:val="0"/>
          <w:numId w:val="0"/>
        </w:numPr>
        <w:overflowPunct/>
        <w:autoSpaceDE/>
        <w:autoSpaceDN/>
        <w:adjustRightInd/>
        <w:spacing w:after="0"/>
        <w:textAlignment w:val="auto"/>
        <w:rPr>
          <w:rFonts w:hint="eastAsia"/>
          <w:b/>
          <w:bCs/>
          <w:i/>
          <w:iCs/>
          <w:szCs w:val="21"/>
          <w:lang w:val="en-US" w:eastAsia="zh-CN"/>
        </w:rPr>
      </w:pPr>
      <w:r>
        <w:rPr>
          <w:rFonts w:hint="eastAsia"/>
          <w:b/>
          <w:bCs/>
          <w:i/>
          <w:iCs/>
          <w:szCs w:val="21"/>
          <w:lang w:val="en-US" w:eastAsia="zh-CN"/>
        </w:rPr>
        <w:t>Proposal 4. Propose to consider XP-low for DL MIMO transmission.</w:t>
      </w:r>
    </w:p>
    <w:p>
      <w:pPr>
        <w:widowControl w:val="0"/>
        <w:numPr>
          <w:ilvl w:val="0"/>
          <w:numId w:val="0"/>
        </w:numPr>
        <w:overflowPunct/>
        <w:autoSpaceDE/>
        <w:autoSpaceDN/>
        <w:adjustRightInd/>
        <w:spacing w:after="0"/>
        <w:textAlignment w:val="auto"/>
        <w:rPr>
          <w:rFonts w:hint="eastAsia"/>
          <w:b/>
          <w:bCs/>
          <w:i/>
          <w:iCs/>
          <w:szCs w:val="21"/>
          <w:lang w:val="en-US" w:eastAsia="zh-CN"/>
        </w:rPr>
      </w:pPr>
      <w:r>
        <w:rPr>
          <w:rFonts w:hint="eastAsia" w:cs="Times New Roman"/>
          <w:b/>
          <w:bCs/>
          <w:i/>
          <w:iCs/>
          <w:color w:val="auto"/>
          <w:sz w:val="20"/>
          <w:szCs w:val="20"/>
          <w:lang w:val="en-US" w:eastAsia="zh-CN"/>
        </w:rPr>
        <w:t>Proposal 5. Propose to consider MCS 13 and MCS 22 defining demodulation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Cs/>
          <w:kern w:val="0"/>
          <w:szCs w:val="21"/>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6</w:t>
      </w:r>
      <w:r>
        <w:rPr>
          <w:rFonts w:hint="eastAsia" w:ascii="Times New Roman" w:hAnsi="Times New Roman" w:eastAsia="宋体" w:cs="Times New Roman"/>
          <w:b/>
          <w:bCs/>
          <w:i/>
          <w:iCs/>
          <w:kern w:val="2"/>
          <w:sz w:val="21"/>
          <w:szCs w:val="21"/>
          <w:lang w:val="en-US" w:eastAsia="zh-CN" w:bidi="ar-SA"/>
        </w:rPr>
        <w:t xml:space="preserve">. No need to consider other legacy test cases.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ascii="Times New Roman" w:hAnsi="Times New Roman" w:eastAsia="宋体"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7</w:t>
      </w:r>
      <w:r>
        <w:rPr>
          <w:rFonts w:hint="eastAsia" w:ascii="Times New Roman" w:hAnsi="Times New Roman" w:eastAsia="宋体" w:cs="Times New Roman"/>
          <w:b/>
          <w:bCs/>
          <w:i/>
          <w:iCs/>
          <w:kern w:val="2"/>
          <w:sz w:val="21"/>
          <w:szCs w:val="21"/>
          <w:lang w:val="en-US" w:eastAsia="zh-CN" w:bidi="ar-SA"/>
        </w:rPr>
        <w:t>.</w:t>
      </w:r>
      <w:r>
        <w:rPr>
          <w:rFonts w:hint="eastAsia" w:cs="Times New Roman"/>
          <w:b/>
          <w:bCs/>
          <w:i/>
          <w:iCs/>
          <w:kern w:val="2"/>
          <w:sz w:val="21"/>
          <w:szCs w:val="21"/>
          <w:lang w:val="en-US" w:eastAsia="zh-CN" w:bidi="ar-SA"/>
        </w:rPr>
        <w:t xml:space="preserve"> Propose to introduce incremental PUSCH 2 layer test cases.</w:t>
      </w:r>
    </w:p>
    <w:p>
      <w:pPr>
        <w:widowControl w:val="0"/>
        <w:numPr>
          <w:ilvl w:val="255"/>
          <w:numId w:val="0"/>
        </w:numPr>
        <w:spacing w:beforeLines="0" w:afterLines="0" w:line="240" w:lineRule="auto"/>
        <w:rPr>
          <w:rFonts w:hint="eastAsia"/>
          <w:bCs/>
          <w:kern w:val="0"/>
          <w:szCs w:val="21"/>
        </w:rPr>
      </w:pPr>
    </w:p>
    <w:p>
      <w:pPr>
        <w:widowControl w:val="0"/>
        <w:numPr>
          <w:ilvl w:val="255"/>
          <w:numId w:val="0"/>
        </w:numPr>
        <w:spacing w:beforeLines="0" w:afterLines="0" w:line="240" w:lineRule="auto"/>
        <w:rPr>
          <w:rFonts w:hint="eastAsia"/>
          <w:bCs/>
          <w:kern w:val="0"/>
          <w:szCs w:val="21"/>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0"/>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RP-243285, Revised WID on Enhancements for Air-to-ground network for NR. CMCC, ZTE Corporation, CATT, Huawei, HiSilicon, Verizon, China Telecom, China Unicom.</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95D5D0C"/>
    <w:multiLevelType w:val="multilevel"/>
    <w:tmpl w:val="395D5D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9"/>
  </w:num>
  <w:num w:numId="3">
    <w:abstractNumId w:val="3"/>
  </w:num>
  <w:num w:numId="4">
    <w:abstractNumId w:val="6"/>
  </w:num>
  <w:num w:numId="5">
    <w:abstractNumId w:val="1"/>
  </w:num>
  <w:num w:numId="6">
    <w:abstractNumId w:val="0"/>
  </w:num>
  <w:num w:numId="7">
    <w:abstractNumId w:val="5"/>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B14E2"/>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82188"/>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95949"/>
    <w:rsid w:val="0B0D30CE"/>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17507"/>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2D522C"/>
    <w:rsid w:val="0D4B44A1"/>
    <w:rsid w:val="0D6309C9"/>
    <w:rsid w:val="0D6811B4"/>
    <w:rsid w:val="0D6E2620"/>
    <w:rsid w:val="0D704E21"/>
    <w:rsid w:val="0D7F48FE"/>
    <w:rsid w:val="0D883C88"/>
    <w:rsid w:val="0D8F2DDB"/>
    <w:rsid w:val="0D936E72"/>
    <w:rsid w:val="0D966BF7"/>
    <w:rsid w:val="0DC64280"/>
    <w:rsid w:val="0DC826FC"/>
    <w:rsid w:val="0DCC3AE8"/>
    <w:rsid w:val="0DD0091C"/>
    <w:rsid w:val="0DD87842"/>
    <w:rsid w:val="0DDD3E46"/>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46AB4"/>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A4742"/>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130D95"/>
    <w:rsid w:val="112F3754"/>
    <w:rsid w:val="113F6A80"/>
    <w:rsid w:val="114028DC"/>
    <w:rsid w:val="1141355F"/>
    <w:rsid w:val="116F1EB0"/>
    <w:rsid w:val="11722914"/>
    <w:rsid w:val="117B1D6A"/>
    <w:rsid w:val="117C2D9D"/>
    <w:rsid w:val="117C388E"/>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361FC"/>
    <w:rsid w:val="11F92DAB"/>
    <w:rsid w:val="11FC38D5"/>
    <w:rsid w:val="1210682D"/>
    <w:rsid w:val="12191604"/>
    <w:rsid w:val="12243EB6"/>
    <w:rsid w:val="122F4E3A"/>
    <w:rsid w:val="123A05DB"/>
    <w:rsid w:val="124240B9"/>
    <w:rsid w:val="124D0988"/>
    <w:rsid w:val="124D1131"/>
    <w:rsid w:val="12680E73"/>
    <w:rsid w:val="126D6D93"/>
    <w:rsid w:val="126E7091"/>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2E2506"/>
    <w:rsid w:val="13332F77"/>
    <w:rsid w:val="13334E1C"/>
    <w:rsid w:val="13346EE4"/>
    <w:rsid w:val="13384952"/>
    <w:rsid w:val="1355107F"/>
    <w:rsid w:val="135D4D2E"/>
    <w:rsid w:val="1366378C"/>
    <w:rsid w:val="1366638D"/>
    <w:rsid w:val="13684A09"/>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30298"/>
    <w:rsid w:val="154D342A"/>
    <w:rsid w:val="15520877"/>
    <w:rsid w:val="1559587F"/>
    <w:rsid w:val="15734E9E"/>
    <w:rsid w:val="1574662E"/>
    <w:rsid w:val="15751882"/>
    <w:rsid w:val="1575191B"/>
    <w:rsid w:val="157818C6"/>
    <w:rsid w:val="15895EB4"/>
    <w:rsid w:val="159F73BB"/>
    <w:rsid w:val="15B03F28"/>
    <w:rsid w:val="15B95373"/>
    <w:rsid w:val="15D87029"/>
    <w:rsid w:val="15E30A80"/>
    <w:rsid w:val="15E73E3D"/>
    <w:rsid w:val="15E74E5F"/>
    <w:rsid w:val="1608480E"/>
    <w:rsid w:val="160C4E29"/>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85DAD"/>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52303C"/>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B5784A"/>
    <w:rsid w:val="1DC65562"/>
    <w:rsid w:val="1DE94164"/>
    <w:rsid w:val="1DEE1B11"/>
    <w:rsid w:val="1E1149E3"/>
    <w:rsid w:val="1E164B52"/>
    <w:rsid w:val="1E1D6574"/>
    <w:rsid w:val="1E273844"/>
    <w:rsid w:val="1E2B0190"/>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B77E18"/>
    <w:rsid w:val="1FC55EDA"/>
    <w:rsid w:val="1FCD1032"/>
    <w:rsid w:val="1FCE157D"/>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00050"/>
    <w:rsid w:val="208115A6"/>
    <w:rsid w:val="208574F4"/>
    <w:rsid w:val="208C4449"/>
    <w:rsid w:val="208D6150"/>
    <w:rsid w:val="208F6BAF"/>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66D9B"/>
    <w:rsid w:val="21BB49CD"/>
    <w:rsid w:val="21C267BF"/>
    <w:rsid w:val="21CD6BCD"/>
    <w:rsid w:val="21CE6067"/>
    <w:rsid w:val="21CF439A"/>
    <w:rsid w:val="21D57EBD"/>
    <w:rsid w:val="21F00127"/>
    <w:rsid w:val="221D2FA3"/>
    <w:rsid w:val="2226635F"/>
    <w:rsid w:val="222D4F0B"/>
    <w:rsid w:val="223A68A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3FD162E"/>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301531"/>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80F3E"/>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1820AF"/>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2D64"/>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D4B8B"/>
    <w:rsid w:val="2915217A"/>
    <w:rsid w:val="293320BC"/>
    <w:rsid w:val="29382108"/>
    <w:rsid w:val="29443F47"/>
    <w:rsid w:val="294E766A"/>
    <w:rsid w:val="294F2ECF"/>
    <w:rsid w:val="296B0F20"/>
    <w:rsid w:val="297161D3"/>
    <w:rsid w:val="29725175"/>
    <w:rsid w:val="2978319A"/>
    <w:rsid w:val="297F37BB"/>
    <w:rsid w:val="29847FAB"/>
    <w:rsid w:val="29886D49"/>
    <w:rsid w:val="29897A2F"/>
    <w:rsid w:val="29A02DFF"/>
    <w:rsid w:val="29A3014B"/>
    <w:rsid w:val="29A74CBD"/>
    <w:rsid w:val="29A80BF5"/>
    <w:rsid w:val="29B01C34"/>
    <w:rsid w:val="29B16357"/>
    <w:rsid w:val="29BA0D88"/>
    <w:rsid w:val="29BB3E72"/>
    <w:rsid w:val="29CC09FE"/>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7151B"/>
    <w:rsid w:val="2B0748C6"/>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04A9C"/>
    <w:rsid w:val="2DC66A91"/>
    <w:rsid w:val="2DC92AA1"/>
    <w:rsid w:val="2DCE5F69"/>
    <w:rsid w:val="2DDD4F0A"/>
    <w:rsid w:val="2DF42931"/>
    <w:rsid w:val="2E035D9F"/>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5C79"/>
    <w:rsid w:val="30257789"/>
    <w:rsid w:val="302A4BE6"/>
    <w:rsid w:val="302A7494"/>
    <w:rsid w:val="30396A0E"/>
    <w:rsid w:val="304478EC"/>
    <w:rsid w:val="30515C8E"/>
    <w:rsid w:val="30646375"/>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42B75"/>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1B68D2"/>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34262"/>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A291A"/>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652C4A"/>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280D"/>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166F9"/>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BA0E43"/>
    <w:rsid w:val="3DC46444"/>
    <w:rsid w:val="3DD449D5"/>
    <w:rsid w:val="3DED0F96"/>
    <w:rsid w:val="3DF95812"/>
    <w:rsid w:val="3E1D4B24"/>
    <w:rsid w:val="3E3033DA"/>
    <w:rsid w:val="3E372496"/>
    <w:rsid w:val="3E3A04FA"/>
    <w:rsid w:val="3E3D6B96"/>
    <w:rsid w:val="3E441C7D"/>
    <w:rsid w:val="3E490256"/>
    <w:rsid w:val="3E4C2696"/>
    <w:rsid w:val="3E55739E"/>
    <w:rsid w:val="3E601B37"/>
    <w:rsid w:val="3E610D47"/>
    <w:rsid w:val="3E6C43C8"/>
    <w:rsid w:val="3E814327"/>
    <w:rsid w:val="3E8227F0"/>
    <w:rsid w:val="3E8505CC"/>
    <w:rsid w:val="3E937F82"/>
    <w:rsid w:val="3E9B4B40"/>
    <w:rsid w:val="3EB25F77"/>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3411E4"/>
    <w:rsid w:val="4043221E"/>
    <w:rsid w:val="404469FD"/>
    <w:rsid w:val="4049303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63660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811BD7"/>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1E2788"/>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1930C8"/>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157C72"/>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84BC3"/>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8FC0D52"/>
    <w:rsid w:val="49027758"/>
    <w:rsid w:val="490C020A"/>
    <w:rsid w:val="491B63DF"/>
    <w:rsid w:val="491D63E9"/>
    <w:rsid w:val="492D685E"/>
    <w:rsid w:val="4932285C"/>
    <w:rsid w:val="49384E02"/>
    <w:rsid w:val="493E2F78"/>
    <w:rsid w:val="495217DF"/>
    <w:rsid w:val="49530EA7"/>
    <w:rsid w:val="4958367A"/>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C6F9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07FA3"/>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0A8E"/>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18745A"/>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C182D"/>
    <w:rsid w:val="524D03E2"/>
    <w:rsid w:val="5255237A"/>
    <w:rsid w:val="525A61EF"/>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828AF"/>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54E20"/>
    <w:rsid w:val="58171015"/>
    <w:rsid w:val="581B7E79"/>
    <w:rsid w:val="58332D2B"/>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C5264"/>
    <w:rsid w:val="58EF63EE"/>
    <w:rsid w:val="590317F0"/>
    <w:rsid w:val="59075000"/>
    <w:rsid w:val="590F26CD"/>
    <w:rsid w:val="591E2608"/>
    <w:rsid w:val="592374B4"/>
    <w:rsid w:val="593559FD"/>
    <w:rsid w:val="594079B2"/>
    <w:rsid w:val="59570CE3"/>
    <w:rsid w:val="596A688E"/>
    <w:rsid w:val="596B592C"/>
    <w:rsid w:val="5987482A"/>
    <w:rsid w:val="598C6F19"/>
    <w:rsid w:val="599C49A8"/>
    <w:rsid w:val="59A36725"/>
    <w:rsid w:val="59B21BF9"/>
    <w:rsid w:val="59BB4EA3"/>
    <w:rsid w:val="59E378E2"/>
    <w:rsid w:val="59E64CF5"/>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348B3"/>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34A17"/>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A6405"/>
    <w:rsid w:val="615C5041"/>
    <w:rsid w:val="61640072"/>
    <w:rsid w:val="616A1F6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0C3A93"/>
    <w:rsid w:val="631746CA"/>
    <w:rsid w:val="6327422B"/>
    <w:rsid w:val="6328597C"/>
    <w:rsid w:val="633B249F"/>
    <w:rsid w:val="63552D76"/>
    <w:rsid w:val="6358588A"/>
    <w:rsid w:val="6359778B"/>
    <w:rsid w:val="635B63E3"/>
    <w:rsid w:val="636C7DAE"/>
    <w:rsid w:val="63710D45"/>
    <w:rsid w:val="63785E35"/>
    <w:rsid w:val="63834E2E"/>
    <w:rsid w:val="638C3395"/>
    <w:rsid w:val="639431AF"/>
    <w:rsid w:val="639D4867"/>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35021"/>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760A3"/>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283DED"/>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2C0B"/>
    <w:rsid w:val="6DD05277"/>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33BB1"/>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12A5"/>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417DB2"/>
    <w:rsid w:val="704F6EB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D77431"/>
    <w:rsid w:val="70FC2D1E"/>
    <w:rsid w:val="71015D6B"/>
    <w:rsid w:val="71023EB6"/>
    <w:rsid w:val="710266F5"/>
    <w:rsid w:val="71074FCD"/>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D36C65"/>
    <w:rsid w:val="73E16A5B"/>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6149E"/>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2E55CB"/>
    <w:rsid w:val="754E0E3C"/>
    <w:rsid w:val="756625FA"/>
    <w:rsid w:val="75752B04"/>
    <w:rsid w:val="75803430"/>
    <w:rsid w:val="75820E95"/>
    <w:rsid w:val="758910BB"/>
    <w:rsid w:val="75955DA9"/>
    <w:rsid w:val="75977910"/>
    <w:rsid w:val="75985DFA"/>
    <w:rsid w:val="759F2A35"/>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ED5F26"/>
    <w:rsid w:val="77F3789A"/>
    <w:rsid w:val="77FA5ED4"/>
    <w:rsid w:val="780326B9"/>
    <w:rsid w:val="780332E5"/>
    <w:rsid w:val="780B2EAA"/>
    <w:rsid w:val="781B197B"/>
    <w:rsid w:val="7833711D"/>
    <w:rsid w:val="783468E2"/>
    <w:rsid w:val="78460D63"/>
    <w:rsid w:val="78470057"/>
    <w:rsid w:val="78497C2E"/>
    <w:rsid w:val="78502D35"/>
    <w:rsid w:val="78513908"/>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A174E"/>
    <w:rsid w:val="7AEC1F55"/>
    <w:rsid w:val="7AF140F6"/>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F0BCD"/>
    <w:rsid w:val="7DF30332"/>
    <w:rsid w:val="7E090313"/>
    <w:rsid w:val="7E127EEE"/>
    <w:rsid w:val="7E140B36"/>
    <w:rsid w:val="7E2767EA"/>
    <w:rsid w:val="7E2E1227"/>
    <w:rsid w:val="7E3E0FEC"/>
    <w:rsid w:val="7E3E1EF2"/>
    <w:rsid w:val="7E4247D7"/>
    <w:rsid w:val="7E517B0C"/>
    <w:rsid w:val="7E566EA2"/>
    <w:rsid w:val="7E5C1ABA"/>
    <w:rsid w:val="7E61281D"/>
    <w:rsid w:val="7E622778"/>
    <w:rsid w:val="7E6D09FF"/>
    <w:rsid w:val="7E756346"/>
    <w:rsid w:val="7E85174A"/>
    <w:rsid w:val="7E8B68B9"/>
    <w:rsid w:val="7E987C3C"/>
    <w:rsid w:val="7EAA7C26"/>
    <w:rsid w:val="7EAC65E4"/>
    <w:rsid w:val="7EAF1FAA"/>
    <w:rsid w:val="7EB4653A"/>
    <w:rsid w:val="7EB85585"/>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3</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2025-05-09T12:52:14Z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